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F1F7" w14:textId="77777777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0"/>
          <w:sz w:val="22"/>
          <w:szCs w:val="22"/>
        </w:rPr>
      </w:pPr>
    </w:p>
    <w:p w14:paraId="25029EE7" w14:textId="77777777" w:rsidR="00B53528" w:rsidRPr="00000576" w:rsidRDefault="00B53528" w:rsidP="00000576">
      <w:pPr>
        <w:spacing w:before="0" w:after="120" w:line="240" w:lineRule="auto"/>
        <w:jc w:val="both"/>
        <w:rPr>
          <w:rFonts w:eastAsia="Calibri" w:cstheme="minorHAnsi"/>
          <w:spacing w:val="20"/>
          <w:sz w:val="22"/>
          <w:szCs w:val="22"/>
          <w:lang w:eastAsia="hr-HR"/>
        </w:rPr>
      </w:pPr>
    </w:p>
    <w:p w14:paraId="7096DA28" w14:textId="77777777" w:rsidR="00B53528" w:rsidRPr="00000576" w:rsidRDefault="00B53528" w:rsidP="00000576">
      <w:pPr>
        <w:spacing w:before="0" w:after="120" w:line="240" w:lineRule="auto"/>
        <w:rPr>
          <w:rFonts w:eastAsia="Times New Roman" w:cstheme="minorHAnsi"/>
          <w:spacing w:val="20"/>
          <w:sz w:val="22"/>
          <w:szCs w:val="22"/>
          <w:lang w:eastAsia="hr-HR"/>
        </w:rPr>
      </w:pPr>
      <w:r w:rsidRPr="00000576">
        <w:rPr>
          <w:rFonts w:eastAsia="Times New Roman" w:cstheme="minorHAnsi"/>
          <w:noProof/>
          <w:spacing w:val="20"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04C51603" wp14:editId="17EA355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09650" cy="1009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C335B" w14:textId="77777777" w:rsidR="00B53528" w:rsidRPr="00000576" w:rsidRDefault="00B53528" w:rsidP="00000576">
      <w:pPr>
        <w:spacing w:before="0" w:after="120" w:line="240" w:lineRule="auto"/>
        <w:rPr>
          <w:rFonts w:eastAsia="Times New Roman" w:cstheme="minorHAnsi"/>
          <w:b/>
          <w:bCs/>
          <w:spacing w:val="20"/>
          <w:sz w:val="22"/>
          <w:szCs w:val="22"/>
          <w:lang w:eastAsia="hr-HR"/>
        </w:rPr>
      </w:pPr>
    </w:p>
    <w:p w14:paraId="26FBD666" w14:textId="77777777" w:rsidR="00B53528" w:rsidRPr="00000576" w:rsidRDefault="00B53528" w:rsidP="00000576">
      <w:pPr>
        <w:spacing w:before="0" w:after="120" w:line="240" w:lineRule="auto"/>
        <w:jc w:val="center"/>
        <w:rPr>
          <w:rFonts w:eastAsia="Times New Roman" w:cstheme="minorHAnsi"/>
          <w:b/>
          <w:bCs/>
          <w:spacing w:val="20"/>
          <w:sz w:val="22"/>
          <w:szCs w:val="22"/>
          <w:lang w:eastAsia="hr-HR"/>
        </w:rPr>
      </w:pPr>
    </w:p>
    <w:p w14:paraId="5329CE80" w14:textId="77777777" w:rsidR="00B53528" w:rsidRPr="00000576" w:rsidRDefault="00B53528" w:rsidP="00000576">
      <w:pPr>
        <w:spacing w:before="0" w:after="120" w:line="240" w:lineRule="auto"/>
        <w:jc w:val="center"/>
        <w:rPr>
          <w:rFonts w:eastAsia="Times New Roman" w:cstheme="minorHAnsi"/>
          <w:color w:val="828282"/>
          <w:spacing w:val="20"/>
          <w:sz w:val="28"/>
          <w:szCs w:val="22"/>
          <w:lang w:eastAsia="hr-HR"/>
        </w:rPr>
      </w:pPr>
      <w:r w:rsidRPr="00000576">
        <w:rPr>
          <w:rFonts w:eastAsia="Times New Roman" w:cstheme="minorHAnsi"/>
          <w:b/>
          <w:bCs/>
          <w:spacing w:val="20"/>
          <w:sz w:val="28"/>
          <w:szCs w:val="22"/>
          <w:lang w:eastAsia="hr-HR"/>
        </w:rPr>
        <w:t>REPUBLIKA HRVATSKA</w:t>
      </w:r>
    </w:p>
    <w:p w14:paraId="05E3F785" w14:textId="07FA88C8" w:rsidR="00B53528" w:rsidRPr="00000576" w:rsidRDefault="00B53528" w:rsidP="00000576">
      <w:pPr>
        <w:spacing w:before="0" w:after="120" w:line="240" w:lineRule="auto"/>
        <w:jc w:val="center"/>
        <w:rPr>
          <w:rFonts w:eastAsia="Times New Roman" w:cstheme="minorHAnsi"/>
          <w:b/>
          <w:spacing w:val="20"/>
          <w:sz w:val="28"/>
          <w:szCs w:val="22"/>
          <w:lang w:eastAsia="hr-HR"/>
        </w:rPr>
      </w:pPr>
      <w:r w:rsidRPr="00000576">
        <w:rPr>
          <w:rFonts w:eastAsia="Times New Roman" w:cstheme="minorHAnsi"/>
          <w:b/>
          <w:bCs/>
          <w:spacing w:val="20"/>
          <w:sz w:val="28"/>
          <w:szCs w:val="22"/>
          <w:lang w:eastAsia="hr-HR"/>
        </w:rPr>
        <w:t>OSJEČKO – BARANJSKA ŽUPANIJA</w:t>
      </w:r>
    </w:p>
    <w:p w14:paraId="159B55D4" w14:textId="77777777" w:rsidR="00B53528" w:rsidRPr="00000576" w:rsidRDefault="00B53528" w:rsidP="00000576">
      <w:pPr>
        <w:keepNext/>
        <w:spacing w:before="0" w:after="120" w:line="240" w:lineRule="auto"/>
        <w:jc w:val="center"/>
        <w:outlineLvl w:val="1"/>
        <w:rPr>
          <w:rFonts w:eastAsia="Times New Roman" w:cstheme="minorHAnsi"/>
          <w:b/>
          <w:spacing w:val="20"/>
          <w:sz w:val="28"/>
          <w:szCs w:val="22"/>
          <w:lang w:eastAsia="hr-HR"/>
        </w:rPr>
      </w:pPr>
      <w:bookmarkStart w:id="0" w:name="_Toc71103117"/>
      <w:bookmarkStart w:id="1" w:name="_Toc114225604"/>
      <w:bookmarkStart w:id="2" w:name="_Toc144891680"/>
      <w:r w:rsidRPr="00000576">
        <w:rPr>
          <w:rFonts w:eastAsia="Times New Roman" w:cstheme="minorHAnsi"/>
          <w:b/>
          <w:spacing w:val="20"/>
          <w:sz w:val="28"/>
          <w:szCs w:val="22"/>
          <w:lang w:eastAsia="hr-HR"/>
        </w:rPr>
        <w:t>OPĆINA LEVANJSKA VAROŠ</w:t>
      </w:r>
      <w:bookmarkEnd w:id="0"/>
      <w:bookmarkEnd w:id="1"/>
      <w:bookmarkEnd w:id="2"/>
    </w:p>
    <w:p w14:paraId="03385573" w14:textId="77777777" w:rsidR="00B53528" w:rsidRPr="00000576" w:rsidRDefault="00B53528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2332CF6E" w14:textId="77777777" w:rsidR="00B53528" w:rsidRPr="00000576" w:rsidRDefault="00B53528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797B0846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7FF95D3D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1C7AD816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2FC07F43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06DEFAD2" w14:textId="77777777" w:rsidR="00DA6E26" w:rsidRPr="00000576" w:rsidRDefault="00DA6E26" w:rsidP="00000576">
      <w:pPr>
        <w:widowControl w:val="0"/>
        <w:autoSpaceDE w:val="0"/>
        <w:autoSpaceDN w:val="0"/>
        <w:spacing w:before="0" w:after="120" w:line="240" w:lineRule="auto"/>
        <w:ind w:left="216"/>
        <w:jc w:val="both"/>
        <w:rPr>
          <w:rFonts w:eastAsia="Times New Roman" w:cstheme="minorHAnsi"/>
          <w:spacing w:val="20"/>
          <w:sz w:val="22"/>
          <w:szCs w:val="22"/>
          <w:lang w:bidi="en-US"/>
        </w:rPr>
      </w:pPr>
    </w:p>
    <w:p w14:paraId="312CB077" w14:textId="77777777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4"/>
          <w:sz w:val="32"/>
          <w:szCs w:val="22"/>
        </w:rPr>
      </w:pPr>
      <w:r w:rsidRPr="00000576">
        <w:rPr>
          <w:rFonts w:cstheme="minorHAnsi"/>
          <w:b/>
          <w:spacing w:val="24"/>
          <w:sz w:val="32"/>
          <w:szCs w:val="22"/>
        </w:rPr>
        <w:t xml:space="preserve">OBRAZLOŽENJE </w:t>
      </w:r>
    </w:p>
    <w:p w14:paraId="786B902A" w14:textId="73517E42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4"/>
          <w:sz w:val="32"/>
          <w:szCs w:val="22"/>
        </w:rPr>
      </w:pPr>
      <w:r w:rsidRPr="00000576">
        <w:rPr>
          <w:rFonts w:cstheme="minorHAnsi"/>
          <w:b/>
          <w:spacing w:val="24"/>
          <w:sz w:val="32"/>
          <w:szCs w:val="22"/>
        </w:rPr>
        <w:t xml:space="preserve">UZ </w:t>
      </w:r>
      <w:r w:rsidR="009A702F">
        <w:rPr>
          <w:rFonts w:cstheme="minorHAnsi"/>
          <w:b/>
          <w:spacing w:val="24"/>
          <w:sz w:val="32"/>
          <w:szCs w:val="22"/>
        </w:rPr>
        <w:t>POLU</w:t>
      </w:r>
      <w:r w:rsidRPr="00000576">
        <w:rPr>
          <w:rFonts w:cstheme="minorHAnsi"/>
          <w:b/>
          <w:spacing w:val="24"/>
          <w:sz w:val="32"/>
          <w:szCs w:val="22"/>
        </w:rPr>
        <w:t xml:space="preserve">GODIŠNJI IZVJEŠTAJ O IZVRŠENJU PRORAČUNA </w:t>
      </w:r>
    </w:p>
    <w:p w14:paraId="5186886D" w14:textId="62D5F1EB" w:rsidR="00B53528" w:rsidRPr="00000576" w:rsidRDefault="00B53528" w:rsidP="00000576">
      <w:pPr>
        <w:spacing w:before="0" w:after="120" w:line="240" w:lineRule="auto"/>
        <w:jc w:val="center"/>
        <w:rPr>
          <w:rFonts w:cstheme="minorHAnsi"/>
          <w:b/>
          <w:spacing w:val="24"/>
          <w:sz w:val="32"/>
          <w:szCs w:val="22"/>
        </w:rPr>
      </w:pPr>
      <w:r w:rsidRPr="00000576">
        <w:rPr>
          <w:rFonts w:cstheme="minorHAnsi"/>
          <w:b/>
          <w:spacing w:val="24"/>
          <w:sz w:val="32"/>
          <w:szCs w:val="22"/>
        </w:rPr>
        <w:t>OPĆINE LEVANJSKA VAROŠ ZA 202</w:t>
      </w:r>
      <w:r w:rsidR="00FD55B2">
        <w:rPr>
          <w:rFonts w:cstheme="minorHAnsi"/>
          <w:b/>
          <w:spacing w:val="24"/>
          <w:sz w:val="32"/>
          <w:szCs w:val="22"/>
        </w:rPr>
        <w:t>4</w:t>
      </w:r>
      <w:r w:rsidRPr="00000576">
        <w:rPr>
          <w:rFonts w:cstheme="minorHAnsi"/>
          <w:b/>
          <w:spacing w:val="24"/>
          <w:sz w:val="32"/>
          <w:szCs w:val="22"/>
        </w:rPr>
        <w:t>. GODINU</w:t>
      </w:r>
    </w:p>
    <w:p w14:paraId="3348F6B9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112DE609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28DE9E0B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7F61DD5D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30023103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5F1F095E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44B74DB7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472D34E8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2C537070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180D4F75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51ADFC04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1AAA0E5B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08F577ED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</w:pPr>
    </w:p>
    <w:p w14:paraId="231C6716" w14:textId="75C94929" w:rsidR="00DA6E26" w:rsidRPr="00000576" w:rsidRDefault="00FD55B2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  <w:r>
        <w:rPr>
          <w:rFonts w:cstheme="minorHAnsi"/>
          <w:b/>
          <w:spacing w:val="20"/>
          <w:sz w:val="22"/>
          <w:szCs w:val="22"/>
        </w:rPr>
        <w:t>r</w:t>
      </w:r>
      <w:r w:rsidR="009A702F">
        <w:rPr>
          <w:rFonts w:cstheme="minorHAnsi"/>
          <w:b/>
          <w:spacing w:val="20"/>
          <w:sz w:val="22"/>
          <w:szCs w:val="22"/>
        </w:rPr>
        <w:t xml:space="preserve">ujan </w:t>
      </w:r>
      <w:r w:rsidR="00DA6E26" w:rsidRPr="00000576">
        <w:rPr>
          <w:rFonts w:cstheme="minorHAnsi"/>
          <w:b/>
          <w:spacing w:val="20"/>
          <w:sz w:val="22"/>
          <w:szCs w:val="22"/>
        </w:rPr>
        <w:t>202</w:t>
      </w:r>
      <w:r>
        <w:rPr>
          <w:rFonts w:cstheme="minorHAnsi"/>
          <w:b/>
          <w:spacing w:val="20"/>
          <w:sz w:val="22"/>
          <w:szCs w:val="22"/>
        </w:rPr>
        <w:t>4</w:t>
      </w:r>
      <w:r w:rsidR="00DA6E26" w:rsidRPr="00000576">
        <w:rPr>
          <w:rFonts w:cstheme="minorHAnsi"/>
          <w:b/>
          <w:spacing w:val="20"/>
          <w:sz w:val="22"/>
          <w:szCs w:val="22"/>
        </w:rPr>
        <w:t>. godine</w:t>
      </w:r>
    </w:p>
    <w:p w14:paraId="339E9E11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p w14:paraId="6722C08C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p w14:paraId="3B41BAEA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p w14:paraId="63AC66BE" w14:textId="77777777" w:rsidR="00DA6E26" w:rsidRPr="00000576" w:rsidRDefault="00DA6E26" w:rsidP="00000576">
      <w:pPr>
        <w:spacing w:before="0" w:after="120"/>
        <w:jc w:val="center"/>
        <w:rPr>
          <w:rFonts w:cstheme="minorHAnsi"/>
          <w:b/>
          <w:spacing w:val="20"/>
          <w:sz w:val="22"/>
          <w:szCs w:val="22"/>
        </w:rPr>
      </w:pPr>
    </w:p>
    <w:sdt>
      <w:sdtPr>
        <w:rPr>
          <w:caps w:val="0"/>
          <w:color w:val="auto"/>
          <w:spacing w:val="0"/>
          <w:sz w:val="20"/>
          <w:szCs w:val="20"/>
        </w:rPr>
        <w:id w:val="-20879685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4259A0" w14:textId="77777777" w:rsidR="00133D7D" w:rsidRDefault="00781E6C" w:rsidP="00D260F6">
          <w:pPr>
            <w:pStyle w:val="TOCNaslov"/>
            <w:spacing w:before="0"/>
            <w:rPr>
              <w:noProof/>
            </w:rPr>
          </w:pPr>
          <w:r w:rsidRPr="00781E6C">
            <w:rPr>
              <w:b/>
              <w:sz w:val="28"/>
            </w:rPr>
            <w:t>SADRŽAJ</w:t>
          </w: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</w:p>
        <w:p w14:paraId="1D63CC5C" w14:textId="235F9950" w:rsidR="00133D7D" w:rsidRPr="00133D7D" w:rsidRDefault="00F87BC8" w:rsidP="00133D7D">
          <w:pPr>
            <w:pStyle w:val="Sadraj1"/>
            <w:rPr>
              <w:rFonts w:cstheme="minorBidi"/>
              <w:noProof/>
              <w:lang w:val="hr-HR" w:eastAsia="hr-HR"/>
            </w:rPr>
          </w:pPr>
          <w:hyperlink w:anchor="_Toc144891681" w:history="1">
            <w:r w:rsidR="00133D7D" w:rsidRPr="00133D7D">
              <w:rPr>
                <w:rStyle w:val="Hiperveza"/>
                <w:rFonts w:cstheme="minorHAnsi"/>
                <w:b/>
                <w:noProof/>
                <w:sz w:val="22"/>
                <w:szCs w:val="22"/>
              </w:rPr>
              <w:t>1.</w:t>
            </w:r>
            <w:r w:rsidR="00133D7D" w:rsidRPr="00133D7D">
              <w:rPr>
                <w:rFonts w:cstheme="minorBidi"/>
                <w:noProof/>
                <w:lang w:val="hr-HR" w:eastAsia="hr-HR"/>
              </w:rPr>
              <w:tab/>
            </w:r>
            <w:r w:rsidR="00133D7D" w:rsidRPr="00133D7D">
              <w:rPr>
                <w:rStyle w:val="Hiperveza"/>
                <w:rFonts w:cstheme="minorHAnsi"/>
                <w:b/>
                <w:noProof/>
                <w:sz w:val="22"/>
                <w:szCs w:val="22"/>
              </w:rPr>
              <w:t>UVOD</w:t>
            </w:r>
            <w:r w:rsidR="00133D7D" w:rsidRPr="00133D7D">
              <w:rPr>
                <w:noProof/>
                <w:webHidden/>
              </w:rPr>
              <w:tab/>
            </w:r>
            <w:r w:rsidR="00133D7D" w:rsidRPr="00133D7D">
              <w:rPr>
                <w:noProof/>
                <w:webHidden/>
              </w:rPr>
              <w:fldChar w:fldCharType="begin"/>
            </w:r>
            <w:r w:rsidR="00133D7D" w:rsidRPr="00133D7D">
              <w:rPr>
                <w:noProof/>
                <w:webHidden/>
              </w:rPr>
              <w:instrText xml:space="preserve"> PAGEREF _Toc144891681 \h </w:instrText>
            </w:r>
            <w:r w:rsidR="00133D7D" w:rsidRPr="00133D7D">
              <w:rPr>
                <w:noProof/>
                <w:webHidden/>
              </w:rPr>
            </w:r>
            <w:r w:rsidR="00133D7D" w:rsidRPr="00133D7D">
              <w:rPr>
                <w:noProof/>
                <w:webHidden/>
              </w:rPr>
              <w:fldChar w:fldCharType="separate"/>
            </w:r>
            <w:r w:rsidR="00486E41">
              <w:rPr>
                <w:noProof/>
                <w:webHidden/>
              </w:rPr>
              <w:t>1</w:t>
            </w:r>
            <w:r w:rsidR="00133D7D" w:rsidRPr="00133D7D">
              <w:rPr>
                <w:noProof/>
                <w:webHidden/>
              </w:rPr>
              <w:fldChar w:fldCharType="end"/>
            </w:r>
          </w:hyperlink>
        </w:p>
        <w:p w14:paraId="18A3B2FA" w14:textId="545D4BB2" w:rsidR="00133D7D" w:rsidRPr="00133D7D" w:rsidRDefault="00F87BC8" w:rsidP="00133D7D">
          <w:pPr>
            <w:pStyle w:val="Sadraj1"/>
            <w:rPr>
              <w:rFonts w:cstheme="minorBidi"/>
              <w:noProof/>
              <w:lang w:val="hr-HR" w:eastAsia="hr-HR"/>
            </w:rPr>
          </w:pPr>
          <w:hyperlink w:anchor="_Toc144891682" w:history="1">
            <w:r w:rsidR="00133D7D" w:rsidRPr="00133D7D">
              <w:rPr>
                <w:rStyle w:val="Hiperveza"/>
                <w:rFonts w:cstheme="minorHAnsi"/>
                <w:b/>
                <w:noProof/>
                <w:sz w:val="22"/>
                <w:szCs w:val="22"/>
              </w:rPr>
              <w:t>2.</w:t>
            </w:r>
            <w:r w:rsidR="00133D7D" w:rsidRPr="00133D7D">
              <w:rPr>
                <w:rFonts w:cstheme="minorBidi"/>
                <w:noProof/>
                <w:lang w:val="hr-HR" w:eastAsia="hr-HR"/>
              </w:rPr>
              <w:tab/>
            </w:r>
            <w:r w:rsidR="00133D7D" w:rsidRPr="00133D7D">
              <w:rPr>
                <w:rStyle w:val="Hiperveza"/>
                <w:rFonts w:cstheme="minorHAnsi"/>
                <w:b/>
                <w:noProof/>
                <w:sz w:val="22"/>
                <w:szCs w:val="22"/>
              </w:rPr>
              <w:t>OBRAZLOŽENJE OSTVARENJA PRIHODA I PRIMITAKA, RASHODA I IZDATAKA PRORAČUNA</w:t>
            </w:r>
            <w:r w:rsidR="00133D7D" w:rsidRPr="00133D7D">
              <w:rPr>
                <w:noProof/>
                <w:webHidden/>
              </w:rPr>
              <w:tab/>
            </w:r>
            <w:r w:rsidR="00133D7D" w:rsidRPr="00133D7D">
              <w:rPr>
                <w:noProof/>
                <w:webHidden/>
              </w:rPr>
              <w:fldChar w:fldCharType="begin"/>
            </w:r>
            <w:r w:rsidR="00133D7D" w:rsidRPr="00133D7D">
              <w:rPr>
                <w:noProof/>
                <w:webHidden/>
              </w:rPr>
              <w:instrText xml:space="preserve"> PAGEREF _Toc144891682 \h </w:instrText>
            </w:r>
            <w:r w:rsidR="00133D7D" w:rsidRPr="00133D7D">
              <w:rPr>
                <w:noProof/>
                <w:webHidden/>
              </w:rPr>
            </w:r>
            <w:r w:rsidR="00133D7D" w:rsidRPr="00133D7D">
              <w:rPr>
                <w:noProof/>
                <w:webHidden/>
              </w:rPr>
              <w:fldChar w:fldCharType="separate"/>
            </w:r>
            <w:r w:rsidR="00486E41">
              <w:rPr>
                <w:noProof/>
                <w:webHidden/>
              </w:rPr>
              <w:t>1</w:t>
            </w:r>
            <w:r w:rsidR="00133D7D" w:rsidRPr="00133D7D">
              <w:rPr>
                <w:noProof/>
                <w:webHidden/>
              </w:rPr>
              <w:fldChar w:fldCharType="end"/>
            </w:r>
          </w:hyperlink>
        </w:p>
        <w:p w14:paraId="5B15D438" w14:textId="49771077" w:rsidR="00133D7D" w:rsidRPr="00133D7D" w:rsidRDefault="00F87BC8" w:rsidP="00133D7D">
          <w:pPr>
            <w:pStyle w:val="Sadraj2"/>
            <w:tabs>
              <w:tab w:val="left" w:pos="880"/>
              <w:tab w:val="right" w:leader="dot" w:pos="10456"/>
            </w:tabs>
            <w:spacing w:before="0" w:after="0"/>
            <w:rPr>
              <w:rFonts w:cstheme="minorBidi"/>
              <w:noProof/>
              <w:sz w:val="22"/>
              <w:szCs w:val="22"/>
              <w:lang w:val="hr-HR" w:eastAsia="hr-HR"/>
            </w:rPr>
          </w:pPr>
          <w:hyperlink w:anchor="_Toc144891683" w:history="1">
            <w:r w:rsidR="00133D7D" w:rsidRPr="00133D7D">
              <w:rPr>
                <w:rStyle w:val="Hiperveza"/>
                <w:b/>
                <w:noProof/>
                <w:sz w:val="22"/>
                <w:szCs w:val="22"/>
              </w:rPr>
              <w:t>2.1.</w:t>
            </w:r>
            <w:r w:rsidR="00133D7D" w:rsidRPr="00133D7D">
              <w:rPr>
                <w:rFonts w:cstheme="minorBidi"/>
                <w:noProof/>
                <w:sz w:val="22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b/>
                <w:noProof/>
                <w:sz w:val="22"/>
                <w:szCs w:val="22"/>
              </w:rPr>
              <w:t>PRIHODI I PRIMICI</w:t>
            </w:r>
            <w:r w:rsidR="00133D7D" w:rsidRPr="00133D7D">
              <w:rPr>
                <w:noProof/>
                <w:webHidden/>
                <w:sz w:val="22"/>
                <w:szCs w:val="22"/>
              </w:rPr>
              <w:tab/>
            </w:r>
            <w:r w:rsidR="00133D7D" w:rsidRPr="00133D7D">
              <w:rPr>
                <w:noProof/>
                <w:webHidden/>
                <w:sz w:val="22"/>
                <w:szCs w:val="22"/>
              </w:rPr>
              <w:fldChar w:fldCharType="begin"/>
            </w:r>
            <w:r w:rsidR="00133D7D" w:rsidRPr="00133D7D">
              <w:rPr>
                <w:noProof/>
                <w:webHidden/>
                <w:sz w:val="22"/>
                <w:szCs w:val="22"/>
              </w:rPr>
              <w:instrText xml:space="preserve"> PAGEREF _Toc144891683 \h </w:instrText>
            </w:r>
            <w:r w:rsidR="00133D7D" w:rsidRPr="00133D7D">
              <w:rPr>
                <w:noProof/>
                <w:webHidden/>
                <w:sz w:val="22"/>
                <w:szCs w:val="22"/>
              </w:rPr>
            </w:r>
            <w:r w:rsidR="00133D7D" w:rsidRPr="00133D7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86E41">
              <w:rPr>
                <w:noProof/>
                <w:webHidden/>
                <w:sz w:val="22"/>
                <w:szCs w:val="22"/>
              </w:rPr>
              <w:t>2</w:t>
            </w:r>
            <w:r w:rsidR="00133D7D" w:rsidRPr="00133D7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7B5968" w14:textId="2B53F498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84" w:history="1">
            <w:r w:rsidR="00133D7D" w:rsidRPr="00133D7D">
              <w:rPr>
                <w:rStyle w:val="Hiperveza"/>
                <w:szCs w:val="22"/>
              </w:rPr>
              <w:t>2.1.1.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Prihodi od poreza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_Toc144891684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2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6A21EEA7" w14:textId="30316573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85" w:history="1">
            <w:r w:rsidR="00133D7D" w:rsidRPr="00133D7D">
              <w:rPr>
                <w:rStyle w:val="Hiperveza"/>
                <w:szCs w:val="22"/>
              </w:rPr>
              <w:t>2.1.2.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Pomoći iz inozemstva i od subjekata unutar općeg proračuna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_Toc144891685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3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32CD70E2" w14:textId="40A8C803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86" w:history="1">
            <w:r w:rsidR="00133D7D" w:rsidRPr="00133D7D">
              <w:rPr>
                <w:rStyle w:val="Hiperveza"/>
                <w:szCs w:val="22"/>
              </w:rPr>
              <w:t>2.1.3.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Prihodi od imovine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_Toc144891686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3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0E705D61" w14:textId="6E035B09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87" w:history="1">
            <w:r w:rsidR="00133D7D" w:rsidRPr="00133D7D">
              <w:rPr>
                <w:rStyle w:val="Hiperveza"/>
                <w:szCs w:val="22"/>
              </w:rPr>
              <w:t>2.1.4.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Prihodi od upravnih i administrativnih pristojbi, pristojbi posebnim propisima i naknadama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_Toc144891687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3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07BB0C76" w14:textId="6AD54645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88" w:history="1">
            <w:r w:rsidR="00133D7D" w:rsidRPr="00133D7D">
              <w:rPr>
                <w:rStyle w:val="Hiperveza"/>
                <w:szCs w:val="22"/>
              </w:rPr>
              <w:t>2.1.5.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Kazne, upravne mjere i ostali prihodi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_Toc144891688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4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2DD9C384" w14:textId="37387D7A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89" w:history="1">
            <w:r w:rsidR="00133D7D" w:rsidRPr="00133D7D">
              <w:rPr>
                <w:rStyle w:val="Hiperveza"/>
                <w:szCs w:val="22"/>
              </w:rPr>
              <w:t>2.1.6.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Prihodi od prodaje nefinancijske imovine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_Toc144891689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4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162E5EB8" w14:textId="39BCCAA0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90" w:history="1">
            <w:r w:rsidR="00133D7D" w:rsidRPr="00133D7D">
              <w:rPr>
                <w:rStyle w:val="Hiperveza"/>
                <w:szCs w:val="22"/>
              </w:rPr>
              <w:t>2.1.7.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Primici  od  financijske imovine i zaduživanja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_Toc144891690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5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0BF4826D" w14:textId="20AE7D91" w:rsidR="00133D7D" w:rsidRPr="00133D7D" w:rsidRDefault="00F87BC8" w:rsidP="00133D7D">
          <w:pPr>
            <w:pStyle w:val="Sadraj2"/>
            <w:tabs>
              <w:tab w:val="left" w:pos="880"/>
              <w:tab w:val="right" w:leader="dot" w:pos="10456"/>
            </w:tabs>
            <w:spacing w:before="0" w:after="0"/>
            <w:rPr>
              <w:rFonts w:cstheme="minorBidi"/>
              <w:noProof/>
              <w:sz w:val="22"/>
              <w:szCs w:val="22"/>
              <w:lang w:val="hr-HR" w:eastAsia="hr-HR"/>
            </w:rPr>
          </w:pPr>
          <w:hyperlink w:anchor="_Toc144891691" w:history="1">
            <w:r w:rsidR="00133D7D" w:rsidRPr="00133D7D">
              <w:rPr>
                <w:rStyle w:val="Hiperveza"/>
                <w:b/>
                <w:noProof/>
                <w:sz w:val="22"/>
                <w:szCs w:val="22"/>
              </w:rPr>
              <w:t>2.2.</w:t>
            </w:r>
            <w:r w:rsidR="00133D7D" w:rsidRPr="00133D7D">
              <w:rPr>
                <w:rFonts w:cstheme="minorBidi"/>
                <w:noProof/>
                <w:sz w:val="22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b/>
                <w:noProof/>
                <w:sz w:val="22"/>
                <w:szCs w:val="22"/>
              </w:rPr>
              <w:t>RASHODI I IZDACI</w:t>
            </w:r>
            <w:r w:rsidR="00133D7D" w:rsidRPr="00133D7D">
              <w:rPr>
                <w:noProof/>
                <w:webHidden/>
                <w:sz w:val="22"/>
                <w:szCs w:val="22"/>
              </w:rPr>
              <w:tab/>
            </w:r>
            <w:r w:rsidR="00133D7D" w:rsidRPr="00133D7D">
              <w:rPr>
                <w:noProof/>
                <w:webHidden/>
                <w:sz w:val="22"/>
                <w:szCs w:val="22"/>
              </w:rPr>
              <w:fldChar w:fldCharType="begin"/>
            </w:r>
            <w:r w:rsidR="00133D7D" w:rsidRPr="00133D7D">
              <w:rPr>
                <w:noProof/>
                <w:webHidden/>
                <w:sz w:val="22"/>
                <w:szCs w:val="22"/>
              </w:rPr>
              <w:instrText xml:space="preserve"> PAGEREF _Toc144891691 \h </w:instrText>
            </w:r>
            <w:r w:rsidR="00133D7D" w:rsidRPr="00133D7D">
              <w:rPr>
                <w:noProof/>
                <w:webHidden/>
                <w:sz w:val="22"/>
                <w:szCs w:val="22"/>
              </w:rPr>
            </w:r>
            <w:r w:rsidR="00133D7D" w:rsidRPr="00133D7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86E41">
              <w:rPr>
                <w:noProof/>
                <w:webHidden/>
                <w:sz w:val="22"/>
                <w:szCs w:val="22"/>
              </w:rPr>
              <w:t>5</w:t>
            </w:r>
            <w:r w:rsidR="00133D7D" w:rsidRPr="00133D7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3C514F" w14:textId="6B809247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92" w:history="1">
            <w:r w:rsidR="00133D7D" w:rsidRPr="00133D7D">
              <w:rPr>
                <w:rStyle w:val="Hiperveza"/>
                <w:szCs w:val="22"/>
              </w:rPr>
              <w:t>2.2.1.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Rashodi za zaposlene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_Toc144891692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5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2B082901" w14:textId="1C9FC7AE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93" w:history="1">
            <w:r w:rsidR="00133D7D" w:rsidRPr="00133D7D">
              <w:rPr>
                <w:rStyle w:val="Hiperveza"/>
                <w:szCs w:val="22"/>
              </w:rPr>
              <w:t>2.2.2.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Materijalni rashodi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_Toc144891693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6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7319D504" w14:textId="13D1E959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94" w:history="1">
            <w:r w:rsidR="00133D7D" w:rsidRPr="00133D7D">
              <w:rPr>
                <w:rStyle w:val="Hiperveza"/>
                <w:szCs w:val="22"/>
              </w:rPr>
              <w:t>2.2.3.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Financijski rashodi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_Toc144891694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7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410DE97F" w14:textId="6D3B31D9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95" w:history="1">
            <w:r w:rsidR="00133D7D" w:rsidRPr="00133D7D">
              <w:rPr>
                <w:rStyle w:val="Hiperveza"/>
                <w:szCs w:val="22"/>
              </w:rPr>
              <w:t>2.2.4.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Subvencije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_Toc144891695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7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4DC38E78" w14:textId="184AAC81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96" w:history="1">
            <w:r w:rsidR="00133D7D" w:rsidRPr="00133D7D">
              <w:rPr>
                <w:rStyle w:val="Hiperveza"/>
                <w:szCs w:val="22"/>
              </w:rPr>
              <w:t>2.2.5.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Pomoći dane u inozemstvo i unutar općeg proračuna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_Toc144891696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7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623D698F" w14:textId="5B24D309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97" w:history="1">
            <w:r w:rsidR="00133D7D" w:rsidRPr="00133D7D">
              <w:rPr>
                <w:rStyle w:val="Hiperveza"/>
                <w:szCs w:val="22"/>
              </w:rPr>
              <w:t>2.2.6.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Naknade građanima i kućanstvima na temelju osiguranja i druge naknade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_Toc144891697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8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6907763A" w14:textId="35307A08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98" w:history="1">
            <w:r w:rsidR="00133D7D" w:rsidRPr="00133D7D">
              <w:rPr>
                <w:rStyle w:val="Hiperveza"/>
                <w:szCs w:val="22"/>
              </w:rPr>
              <w:t>2.2.7.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Ostali rashodi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_Toc144891698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8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5E4F82C2" w14:textId="6D84DCA3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699" w:history="1">
            <w:r w:rsidR="00133D7D" w:rsidRPr="00133D7D">
              <w:rPr>
                <w:rStyle w:val="Hiperveza"/>
                <w:szCs w:val="22"/>
              </w:rPr>
              <w:t>2.2.8.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Rashodi za nabavu neproizvedene dugotrajne imovine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_Toc144891699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8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2B5837B3" w14:textId="029187E7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700" w:history="1">
            <w:r w:rsidR="00133D7D" w:rsidRPr="00133D7D">
              <w:rPr>
                <w:rStyle w:val="Hiperveza"/>
                <w:szCs w:val="22"/>
              </w:rPr>
              <w:t>2.2.9.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Rashodi za nabavu proizvedene dugotrajne imovine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_Toc144891700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9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725DA517" w14:textId="4E474E33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701" w:history="1">
            <w:r w:rsidR="00133D7D" w:rsidRPr="00133D7D">
              <w:rPr>
                <w:rStyle w:val="Hiperveza"/>
                <w:szCs w:val="22"/>
              </w:rPr>
              <w:t>2.2.10.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Rashodi za dodatna ulaganja na nefinancijskoj imovini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_Toc144891701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9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0D93661C" w14:textId="05EEA507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702" w:history="1">
            <w:r w:rsidR="00133D7D" w:rsidRPr="00133D7D">
              <w:rPr>
                <w:rStyle w:val="Hiperveza"/>
                <w:szCs w:val="22"/>
              </w:rPr>
              <w:t>2.2.11.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szCs w:val="22"/>
              </w:rPr>
              <w:t>Izdaci za financijsku imovinu i otplate zajmova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_Toc144891702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9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6AC0F24C" w14:textId="2452E37B" w:rsidR="00133D7D" w:rsidRPr="00133D7D" w:rsidRDefault="00F87BC8" w:rsidP="00133D7D">
          <w:pPr>
            <w:pStyle w:val="Sadraj1"/>
            <w:rPr>
              <w:rFonts w:cstheme="minorBidi"/>
              <w:noProof/>
              <w:lang w:val="hr-HR" w:eastAsia="hr-HR"/>
            </w:rPr>
          </w:pPr>
          <w:hyperlink w:anchor="_Toc144891703" w:history="1">
            <w:r w:rsidR="00133D7D" w:rsidRPr="00133D7D">
              <w:rPr>
                <w:rStyle w:val="Hiperveza"/>
                <w:b/>
                <w:noProof/>
                <w:sz w:val="22"/>
                <w:szCs w:val="22"/>
                <w:lang w:eastAsia="hr-HR"/>
              </w:rPr>
              <w:t>3.</w:t>
            </w:r>
            <w:r w:rsidR="00133D7D" w:rsidRPr="00133D7D">
              <w:rPr>
                <w:rFonts w:cstheme="minorBidi"/>
                <w:noProof/>
                <w:lang w:val="hr-HR" w:eastAsia="hr-HR"/>
              </w:rPr>
              <w:tab/>
            </w:r>
            <w:r w:rsidR="00133D7D" w:rsidRPr="00133D7D">
              <w:rPr>
                <w:rStyle w:val="Hiperveza"/>
                <w:b/>
                <w:noProof/>
                <w:sz w:val="22"/>
                <w:szCs w:val="22"/>
                <w:lang w:eastAsia="hr-HR"/>
              </w:rPr>
              <w:t>IZVJEŠTAJ O ZADUŽIVANJU NA DOMAĆEM I STRANOM TRŽIŠTU NOVCA I KAPITALA</w:t>
            </w:r>
            <w:r w:rsidR="00133D7D" w:rsidRPr="00133D7D">
              <w:rPr>
                <w:noProof/>
                <w:webHidden/>
              </w:rPr>
              <w:tab/>
            </w:r>
            <w:r w:rsidR="00133D7D" w:rsidRPr="00133D7D">
              <w:rPr>
                <w:noProof/>
                <w:webHidden/>
              </w:rPr>
              <w:fldChar w:fldCharType="begin"/>
            </w:r>
            <w:r w:rsidR="00133D7D" w:rsidRPr="00133D7D">
              <w:rPr>
                <w:noProof/>
                <w:webHidden/>
              </w:rPr>
              <w:instrText xml:space="preserve"> PAGEREF _Toc144891703 \h </w:instrText>
            </w:r>
            <w:r w:rsidR="00133D7D" w:rsidRPr="00133D7D">
              <w:rPr>
                <w:noProof/>
                <w:webHidden/>
              </w:rPr>
            </w:r>
            <w:r w:rsidR="00133D7D" w:rsidRPr="00133D7D">
              <w:rPr>
                <w:noProof/>
                <w:webHidden/>
              </w:rPr>
              <w:fldChar w:fldCharType="separate"/>
            </w:r>
            <w:r w:rsidR="00486E41">
              <w:rPr>
                <w:noProof/>
                <w:webHidden/>
              </w:rPr>
              <w:t>11</w:t>
            </w:r>
            <w:r w:rsidR="00133D7D" w:rsidRPr="00133D7D">
              <w:rPr>
                <w:noProof/>
                <w:webHidden/>
              </w:rPr>
              <w:fldChar w:fldCharType="end"/>
            </w:r>
          </w:hyperlink>
        </w:p>
        <w:p w14:paraId="071C3B4F" w14:textId="23C37964" w:rsidR="00133D7D" w:rsidRPr="00133D7D" w:rsidRDefault="00F87BC8" w:rsidP="00133D7D">
          <w:pPr>
            <w:pStyle w:val="Sadraj2"/>
            <w:tabs>
              <w:tab w:val="left" w:pos="880"/>
              <w:tab w:val="right" w:leader="dot" w:pos="10456"/>
            </w:tabs>
            <w:spacing w:before="0" w:after="0"/>
            <w:rPr>
              <w:rFonts w:cstheme="minorBidi"/>
              <w:noProof/>
              <w:sz w:val="22"/>
              <w:szCs w:val="22"/>
              <w:lang w:val="hr-HR" w:eastAsia="hr-HR"/>
            </w:rPr>
          </w:pPr>
          <w:hyperlink w:anchor="_Toc144891704" w:history="1">
            <w:r w:rsidR="00133D7D" w:rsidRPr="00133D7D">
              <w:rPr>
                <w:rStyle w:val="Hiperveza"/>
                <w:rFonts w:eastAsia="Times New Roman"/>
                <w:b/>
                <w:noProof/>
                <w:sz w:val="22"/>
                <w:szCs w:val="22"/>
                <w:lang w:eastAsia="hr-HR"/>
              </w:rPr>
              <w:t>3.1.</w:t>
            </w:r>
            <w:r w:rsidR="00133D7D" w:rsidRPr="00133D7D">
              <w:rPr>
                <w:rFonts w:cstheme="minorBidi"/>
                <w:noProof/>
                <w:sz w:val="22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rFonts w:eastAsia="Times New Roman"/>
                <w:b/>
                <w:noProof/>
                <w:sz w:val="22"/>
                <w:szCs w:val="22"/>
                <w:lang w:eastAsia="hr-HR"/>
              </w:rPr>
              <w:t>OBVEZE ZA PRIMLJENE KREDITE I ZAJMOVE</w:t>
            </w:r>
            <w:r w:rsidR="00133D7D" w:rsidRPr="00133D7D">
              <w:rPr>
                <w:noProof/>
                <w:webHidden/>
                <w:sz w:val="22"/>
                <w:szCs w:val="22"/>
              </w:rPr>
              <w:tab/>
            </w:r>
            <w:r w:rsidR="00133D7D" w:rsidRPr="00133D7D">
              <w:rPr>
                <w:noProof/>
                <w:webHidden/>
                <w:sz w:val="22"/>
                <w:szCs w:val="22"/>
              </w:rPr>
              <w:fldChar w:fldCharType="begin"/>
            </w:r>
            <w:r w:rsidR="00133D7D" w:rsidRPr="00133D7D">
              <w:rPr>
                <w:noProof/>
                <w:webHidden/>
                <w:sz w:val="22"/>
                <w:szCs w:val="22"/>
              </w:rPr>
              <w:instrText xml:space="preserve"> PAGEREF _Toc144891704 \h </w:instrText>
            </w:r>
            <w:r w:rsidR="00133D7D" w:rsidRPr="00133D7D">
              <w:rPr>
                <w:noProof/>
                <w:webHidden/>
                <w:sz w:val="22"/>
                <w:szCs w:val="22"/>
              </w:rPr>
            </w:r>
            <w:r w:rsidR="00133D7D" w:rsidRPr="00133D7D">
              <w:rPr>
                <w:noProof/>
                <w:webHidden/>
                <w:sz w:val="22"/>
                <w:szCs w:val="22"/>
              </w:rPr>
              <w:fldChar w:fldCharType="separate"/>
            </w:r>
            <w:r w:rsidR="00486E41">
              <w:rPr>
                <w:noProof/>
                <w:webHidden/>
                <w:sz w:val="22"/>
                <w:szCs w:val="22"/>
              </w:rPr>
              <w:t>11</w:t>
            </w:r>
            <w:r w:rsidR="00133D7D" w:rsidRPr="00133D7D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1BF62D" w14:textId="65B35B25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705" w:history="1">
            <w:r w:rsidR="00133D7D" w:rsidRPr="00133D7D">
              <w:rPr>
                <w:rStyle w:val="Hiperveza"/>
                <w:rFonts w:eastAsia="Times New Roman"/>
                <w:szCs w:val="22"/>
                <w:lang w:eastAsia="hr-HR"/>
              </w:rPr>
              <w:t>3.1.1.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rFonts w:eastAsia="Times New Roman"/>
                <w:szCs w:val="22"/>
                <w:lang w:eastAsia="hr-HR"/>
              </w:rPr>
              <w:t>Dugoročni krediti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_Toc144891705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11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08C00A32" w14:textId="5CB828F0" w:rsidR="00133D7D" w:rsidRPr="00133D7D" w:rsidRDefault="00F87BC8" w:rsidP="00133D7D">
          <w:pPr>
            <w:pStyle w:val="Sadraj3"/>
            <w:rPr>
              <w:rFonts w:cstheme="minorBidi"/>
              <w:szCs w:val="22"/>
              <w:lang w:val="hr-HR" w:eastAsia="hr-HR"/>
            </w:rPr>
          </w:pPr>
          <w:hyperlink w:anchor="_Toc144891706" w:history="1">
            <w:r w:rsidR="00133D7D" w:rsidRPr="00133D7D">
              <w:rPr>
                <w:rStyle w:val="Hiperveza"/>
                <w:rFonts w:eastAsia="Times New Roman"/>
                <w:szCs w:val="22"/>
              </w:rPr>
              <w:t>3.1.2.</w:t>
            </w:r>
            <w:r w:rsidR="00133D7D" w:rsidRPr="00133D7D">
              <w:rPr>
                <w:rFonts w:cstheme="minorBidi"/>
                <w:szCs w:val="22"/>
                <w:lang w:val="hr-HR" w:eastAsia="hr-HR"/>
              </w:rPr>
              <w:tab/>
            </w:r>
            <w:r w:rsidR="00133D7D" w:rsidRPr="00133D7D">
              <w:rPr>
                <w:rStyle w:val="Hiperveza"/>
                <w:rFonts w:eastAsia="Times New Roman"/>
                <w:szCs w:val="22"/>
              </w:rPr>
              <w:t>Kratkoročni zajmovi</w:t>
            </w:r>
            <w:r w:rsidR="00133D7D" w:rsidRPr="00133D7D">
              <w:rPr>
                <w:webHidden/>
                <w:szCs w:val="22"/>
              </w:rPr>
              <w:tab/>
            </w:r>
            <w:r w:rsidR="00133D7D" w:rsidRPr="00133D7D">
              <w:rPr>
                <w:webHidden/>
                <w:szCs w:val="22"/>
              </w:rPr>
              <w:fldChar w:fldCharType="begin"/>
            </w:r>
            <w:r w:rsidR="00133D7D" w:rsidRPr="00133D7D">
              <w:rPr>
                <w:webHidden/>
                <w:szCs w:val="22"/>
              </w:rPr>
              <w:instrText xml:space="preserve"> PAGEREF _Toc144891706 \h </w:instrText>
            </w:r>
            <w:r w:rsidR="00133D7D" w:rsidRPr="00133D7D">
              <w:rPr>
                <w:webHidden/>
                <w:szCs w:val="22"/>
              </w:rPr>
            </w:r>
            <w:r w:rsidR="00133D7D" w:rsidRPr="00133D7D">
              <w:rPr>
                <w:webHidden/>
                <w:szCs w:val="22"/>
              </w:rPr>
              <w:fldChar w:fldCharType="separate"/>
            </w:r>
            <w:r w:rsidR="00486E41">
              <w:rPr>
                <w:webHidden/>
                <w:szCs w:val="22"/>
              </w:rPr>
              <w:t>12</w:t>
            </w:r>
            <w:r w:rsidR="00133D7D" w:rsidRPr="00133D7D">
              <w:rPr>
                <w:webHidden/>
                <w:szCs w:val="22"/>
              </w:rPr>
              <w:fldChar w:fldCharType="end"/>
            </w:r>
          </w:hyperlink>
        </w:p>
        <w:p w14:paraId="4A53DE94" w14:textId="3BB246FF" w:rsidR="00133D7D" w:rsidRPr="00133D7D" w:rsidRDefault="00F87BC8" w:rsidP="00133D7D">
          <w:pPr>
            <w:pStyle w:val="Sadraj1"/>
            <w:rPr>
              <w:rFonts w:cstheme="minorBidi"/>
              <w:noProof/>
              <w:lang w:val="hr-HR" w:eastAsia="hr-HR"/>
            </w:rPr>
          </w:pPr>
          <w:hyperlink w:anchor="_Toc144891707" w:history="1">
            <w:r w:rsidR="00133D7D" w:rsidRPr="00133D7D">
              <w:rPr>
                <w:rStyle w:val="Hiperveza"/>
                <w:b/>
                <w:noProof/>
                <w:sz w:val="22"/>
                <w:szCs w:val="22"/>
              </w:rPr>
              <w:t>4.</w:t>
            </w:r>
            <w:r w:rsidR="00133D7D" w:rsidRPr="00133D7D">
              <w:rPr>
                <w:rFonts w:cstheme="minorBidi"/>
                <w:noProof/>
                <w:lang w:val="hr-HR" w:eastAsia="hr-HR"/>
              </w:rPr>
              <w:tab/>
            </w:r>
            <w:r w:rsidR="00133D7D" w:rsidRPr="00133D7D">
              <w:rPr>
                <w:rStyle w:val="Hiperveza"/>
                <w:b/>
                <w:noProof/>
                <w:sz w:val="22"/>
                <w:szCs w:val="22"/>
              </w:rPr>
              <w:t>IZVJEŠTAJ O DANIM JAMSTVIMA I IZDACIMA PO DANIM JAMSTVIMA</w:t>
            </w:r>
            <w:r w:rsidR="00133D7D" w:rsidRPr="00133D7D">
              <w:rPr>
                <w:noProof/>
                <w:webHidden/>
              </w:rPr>
              <w:tab/>
            </w:r>
            <w:r w:rsidR="00133D7D" w:rsidRPr="00133D7D">
              <w:rPr>
                <w:noProof/>
                <w:webHidden/>
              </w:rPr>
              <w:fldChar w:fldCharType="begin"/>
            </w:r>
            <w:r w:rsidR="00133D7D" w:rsidRPr="00133D7D">
              <w:rPr>
                <w:noProof/>
                <w:webHidden/>
              </w:rPr>
              <w:instrText xml:space="preserve"> PAGEREF _Toc144891707 \h </w:instrText>
            </w:r>
            <w:r w:rsidR="00133D7D" w:rsidRPr="00133D7D">
              <w:rPr>
                <w:noProof/>
                <w:webHidden/>
              </w:rPr>
            </w:r>
            <w:r w:rsidR="00133D7D" w:rsidRPr="00133D7D">
              <w:rPr>
                <w:noProof/>
                <w:webHidden/>
              </w:rPr>
              <w:fldChar w:fldCharType="separate"/>
            </w:r>
            <w:r w:rsidR="00486E41">
              <w:rPr>
                <w:noProof/>
                <w:webHidden/>
              </w:rPr>
              <w:t>12</w:t>
            </w:r>
            <w:r w:rsidR="00133D7D" w:rsidRPr="00133D7D">
              <w:rPr>
                <w:noProof/>
                <w:webHidden/>
              </w:rPr>
              <w:fldChar w:fldCharType="end"/>
            </w:r>
          </w:hyperlink>
        </w:p>
        <w:p w14:paraId="0E8EB95F" w14:textId="1112FAA9" w:rsidR="00133D7D" w:rsidRPr="00133D7D" w:rsidRDefault="00F87BC8" w:rsidP="00133D7D">
          <w:pPr>
            <w:pStyle w:val="Sadraj1"/>
            <w:rPr>
              <w:rFonts w:cstheme="minorBidi"/>
              <w:noProof/>
              <w:lang w:val="hr-HR" w:eastAsia="hr-HR"/>
            </w:rPr>
          </w:pPr>
          <w:hyperlink w:anchor="_Toc144891708" w:history="1">
            <w:r w:rsidR="00133D7D" w:rsidRPr="00133D7D">
              <w:rPr>
                <w:rStyle w:val="Hiperveza"/>
                <w:b/>
                <w:noProof/>
                <w:sz w:val="22"/>
                <w:szCs w:val="22"/>
              </w:rPr>
              <w:t>5.</w:t>
            </w:r>
            <w:r w:rsidR="00133D7D" w:rsidRPr="00133D7D">
              <w:rPr>
                <w:rFonts w:cstheme="minorBidi"/>
                <w:noProof/>
                <w:lang w:val="hr-HR" w:eastAsia="hr-HR"/>
              </w:rPr>
              <w:tab/>
            </w:r>
            <w:r w:rsidR="00133D7D" w:rsidRPr="00133D7D">
              <w:rPr>
                <w:rStyle w:val="Hiperveza"/>
                <w:b/>
                <w:noProof/>
                <w:sz w:val="22"/>
                <w:szCs w:val="22"/>
              </w:rPr>
              <w:t>IZVJEŠTAJ O KORIŠTENJU SREDS</w:t>
            </w:r>
            <w:r w:rsidR="00133D7D" w:rsidRPr="00133D7D">
              <w:rPr>
                <w:rStyle w:val="Hiperveza"/>
                <w:b/>
                <w:noProof/>
                <w:sz w:val="22"/>
                <w:szCs w:val="22"/>
              </w:rPr>
              <w:t>T</w:t>
            </w:r>
            <w:r w:rsidR="00133D7D" w:rsidRPr="00133D7D">
              <w:rPr>
                <w:rStyle w:val="Hiperveza"/>
                <w:b/>
                <w:noProof/>
                <w:sz w:val="22"/>
                <w:szCs w:val="22"/>
              </w:rPr>
              <w:t>AVA PRORAČUNSKE ZALIHE</w:t>
            </w:r>
            <w:r w:rsidR="00133D7D" w:rsidRPr="00133D7D">
              <w:rPr>
                <w:noProof/>
                <w:webHidden/>
              </w:rPr>
              <w:tab/>
            </w:r>
            <w:r w:rsidR="00133D7D" w:rsidRPr="00133D7D">
              <w:rPr>
                <w:noProof/>
                <w:webHidden/>
              </w:rPr>
              <w:fldChar w:fldCharType="begin"/>
            </w:r>
            <w:r w:rsidR="00133D7D" w:rsidRPr="00133D7D">
              <w:rPr>
                <w:noProof/>
                <w:webHidden/>
              </w:rPr>
              <w:instrText xml:space="preserve"> PAGEREF _Toc144891708 \h </w:instrText>
            </w:r>
            <w:r w:rsidR="00133D7D" w:rsidRPr="00133D7D">
              <w:rPr>
                <w:noProof/>
                <w:webHidden/>
              </w:rPr>
            </w:r>
            <w:r w:rsidR="00133D7D" w:rsidRPr="00133D7D">
              <w:rPr>
                <w:noProof/>
                <w:webHidden/>
              </w:rPr>
              <w:fldChar w:fldCharType="separate"/>
            </w:r>
            <w:r w:rsidR="00486E41">
              <w:rPr>
                <w:noProof/>
                <w:webHidden/>
              </w:rPr>
              <w:t>12</w:t>
            </w:r>
            <w:r w:rsidR="00133D7D" w:rsidRPr="00133D7D">
              <w:rPr>
                <w:noProof/>
                <w:webHidden/>
              </w:rPr>
              <w:fldChar w:fldCharType="end"/>
            </w:r>
          </w:hyperlink>
        </w:p>
        <w:p w14:paraId="0B578125" w14:textId="18BEAE85" w:rsidR="00DA6E26" w:rsidRPr="00781E6C" w:rsidRDefault="00781E6C" w:rsidP="00781E6C">
          <w:r>
            <w:rPr>
              <w:b/>
              <w:bCs/>
              <w:noProof/>
            </w:rPr>
            <w:fldChar w:fldCharType="end"/>
          </w:r>
        </w:p>
      </w:sdtContent>
    </w:sdt>
    <w:p w14:paraId="1C9D095B" w14:textId="77777777" w:rsidR="00DA6E26" w:rsidRPr="00000576" w:rsidRDefault="00DA6E26" w:rsidP="00000576">
      <w:pPr>
        <w:spacing w:before="0" w:after="120"/>
        <w:rPr>
          <w:rFonts w:cstheme="minorHAnsi"/>
          <w:b/>
          <w:spacing w:val="20"/>
          <w:sz w:val="22"/>
          <w:szCs w:val="22"/>
        </w:rPr>
        <w:sectPr w:rsidR="00DA6E26" w:rsidRPr="00000576" w:rsidSect="00DA6E26">
          <w:footerReference w:type="defaul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855865F" w14:textId="77777777" w:rsidR="003E3931" w:rsidRPr="00000576" w:rsidRDefault="003E3931" w:rsidP="00165728">
      <w:pPr>
        <w:pStyle w:val="Naslov1"/>
        <w:numPr>
          <w:ilvl w:val="0"/>
          <w:numId w:val="4"/>
        </w:numPr>
        <w:spacing w:before="0" w:after="120"/>
        <w:rPr>
          <w:rFonts w:cstheme="minorHAnsi"/>
          <w:b/>
        </w:rPr>
      </w:pPr>
      <w:bookmarkStart w:id="3" w:name="_Toc144891681"/>
      <w:r w:rsidRPr="00000576">
        <w:rPr>
          <w:rFonts w:cstheme="minorHAnsi"/>
          <w:b/>
        </w:rPr>
        <w:lastRenderedPageBreak/>
        <w:t>UVOD</w:t>
      </w:r>
      <w:bookmarkEnd w:id="3"/>
    </w:p>
    <w:p w14:paraId="08F349B4" w14:textId="446C6DFF" w:rsidR="00023CB8" w:rsidRPr="00023CB8" w:rsidRDefault="00023CB8" w:rsidP="00023CB8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23CB8">
        <w:rPr>
          <w:rFonts w:cstheme="minorHAnsi"/>
          <w:sz w:val="22"/>
          <w:szCs w:val="22"/>
        </w:rPr>
        <w:t xml:space="preserve">Odredbom članka </w:t>
      </w:r>
      <w:r w:rsidR="00471FBC">
        <w:rPr>
          <w:rFonts w:cstheme="minorHAnsi"/>
          <w:sz w:val="22"/>
          <w:szCs w:val="22"/>
        </w:rPr>
        <w:t>8</w:t>
      </w:r>
      <w:r w:rsidR="009A702F">
        <w:rPr>
          <w:rFonts w:cstheme="minorHAnsi"/>
          <w:sz w:val="22"/>
          <w:szCs w:val="22"/>
        </w:rPr>
        <w:t>8</w:t>
      </w:r>
      <w:r w:rsidRPr="00023CB8">
        <w:rPr>
          <w:rFonts w:cstheme="minorHAnsi"/>
          <w:sz w:val="22"/>
          <w:szCs w:val="22"/>
        </w:rPr>
        <w:t>. Zakon</w:t>
      </w:r>
      <w:r w:rsidR="00471FBC">
        <w:rPr>
          <w:rFonts w:cstheme="minorHAnsi"/>
          <w:sz w:val="22"/>
          <w:szCs w:val="22"/>
        </w:rPr>
        <w:t>a</w:t>
      </w:r>
      <w:r w:rsidRPr="00023CB8">
        <w:rPr>
          <w:rFonts w:cstheme="minorHAnsi"/>
          <w:sz w:val="22"/>
          <w:szCs w:val="22"/>
        </w:rPr>
        <w:t xml:space="preserve"> o proračunu (Narodne novine br. </w:t>
      </w:r>
      <w:r w:rsidR="00471FBC">
        <w:rPr>
          <w:rFonts w:cstheme="minorHAnsi"/>
          <w:sz w:val="22"/>
          <w:szCs w:val="22"/>
        </w:rPr>
        <w:t>144/21</w:t>
      </w:r>
      <w:r w:rsidRPr="00023CB8">
        <w:rPr>
          <w:rFonts w:cstheme="minorHAnsi"/>
          <w:sz w:val="22"/>
          <w:szCs w:val="22"/>
        </w:rPr>
        <w:t xml:space="preserve">), utvrđena je obveza </w:t>
      </w:r>
      <w:r w:rsidR="00471FBC">
        <w:rPr>
          <w:rFonts w:cstheme="minorHAnsi"/>
          <w:sz w:val="22"/>
          <w:szCs w:val="22"/>
        </w:rPr>
        <w:t>općinskog načelnika</w:t>
      </w:r>
      <w:r w:rsidRPr="00023CB8">
        <w:rPr>
          <w:rFonts w:cstheme="minorHAnsi"/>
          <w:sz w:val="22"/>
          <w:szCs w:val="22"/>
        </w:rPr>
        <w:t xml:space="preserve"> da podnese prijedlog </w:t>
      </w:r>
      <w:r w:rsidR="009A702F">
        <w:rPr>
          <w:rFonts w:cstheme="minorHAnsi"/>
          <w:sz w:val="22"/>
          <w:szCs w:val="22"/>
        </w:rPr>
        <w:t>polu</w:t>
      </w:r>
      <w:r w:rsidRPr="00023CB8">
        <w:rPr>
          <w:rFonts w:cstheme="minorHAnsi"/>
          <w:sz w:val="22"/>
          <w:szCs w:val="22"/>
        </w:rPr>
        <w:t xml:space="preserve">godišnjeg izvješća o izvršenju proračuna za tekuću godinu predstavničkom tijelu na donošenje, najkasnije do </w:t>
      </w:r>
      <w:r w:rsidR="00471FBC">
        <w:rPr>
          <w:rFonts w:cstheme="minorHAnsi"/>
          <w:sz w:val="22"/>
          <w:szCs w:val="22"/>
        </w:rPr>
        <w:t>3</w:t>
      </w:r>
      <w:r w:rsidR="009A702F">
        <w:rPr>
          <w:rFonts w:cstheme="minorHAnsi"/>
          <w:sz w:val="22"/>
          <w:szCs w:val="22"/>
        </w:rPr>
        <w:t>0</w:t>
      </w:r>
      <w:r w:rsidRPr="00023CB8">
        <w:rPr>
          <w:rFonts w:cstheme="minorHAnsi"/>
          <w:sz w:val="22"/>
          <w:szCs w:val="22"/>
        </w:rPr>
        <w:t xml:space="preserve">. </w:t>
      </w:r>
      <w:r w:rsidR="009A702F">
        <w:rPr>
          <w:rFonts w:cstheme="minorHAnsi"/>
          <w:sz w:val="22"/>
          <w:szCs w:val="22"/>
        </w:rPr>
        <w:t>rujna</w:t>
      </w:r>
      <w:r w:rsidRPr="00023CB8">
        <w:rPr>
          <w:rFonts w:cstheme="minorHAnsi"/>
          <w:sz w:val="22"/>
          <w:szCs w:val="22"/>
        </w:rPr>
        <w:t xml:space="preserve"> tekuće godine.</w:t>
      </w:r>
    </w:p>
    <w:p w14:paraId="3E6A496A" w14:textId="2705E540" w:rsidR="00FE152E" w:rsidRPr="00000576" w:rsidRDefault="00FE152E" w:rsidP="00000576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Člankom 4. Pravilnika o polugodišnjem i godišnjem izvještaju o izvršenju proračuna</w:t>
      </w:r>
      <w:r w:rsidR="009A702F">
        <w:rPr>
          <w:rFonts w:cstheme="minorHAnsi"/>
          <w:sz w:val="22"/>
          <w:szCs w:val="22"/>
        </w:rPr>
        <w:t xml:space="preserve"> i financijskog plana (Narodne novine, broj 85/23)</w:t>
      </w:r>
      <w:r w:rsidRPr="00000576">
        <w:rPr>
          <w:rFonts w:cstheme="minorHAnsi"/>
          <w:sz w:val="22"/>
          <w:szCs w:val="22"/>
        </w:rPr>
        <w:t xml:space="preserve">, utvrđeno je da </w:t>
      </w:r>
      <w:r w:rsidR="00023CB8">
        <w:rPr>
          <w:rFonts w:cstheme="minorHAnsi"/>
          <w:sz w:val="22"/>
          <w:szCs w:val="22"/>
        </w:rPr>
        <w:t>polu</w:t>
      </w:r>
      <w:r w:rsidRPr="00000576">
        <w:rPr>
          <w:rFonts w:cstheme="minorHAnsi"/>
          <w:sz w:val="22"/>
          <w:szCs w:val="22"/>
        </w:rPr>
        <w:t xml:space="preserve">godišnji izvještaj o izvršenju proračuna sadrži: </w:t>
      </w:r>
    </w:p>
    <w:p w14:paraId="303B7A57" w14:textId="384E61D4" w:rsidR="00FE152E" w:rsidRPr="00000576" w:rsidRDefault="00FE152E" w:rsidP="00165728">
      <w:pPr>
        <w:pStyle w:val="Odlomakpopisa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opći dio </w:t>
      </w:r>
      <w:r w:rsidR="009A702F">
        <w:rPr>
          <w:rFonts w:cstheme="minorHAnsi"/>
          <w:sz w:val="22"/>
          <w:szCs w:val="22"/>
        </w:rPr>
        <w:t>(sažetak, r</w:t>
      </w:r>
      <w:r w:rsidRPr="00000576">
        <w:rPr>
          <w:rFonts w:cstheme="minorHAnsi"/>
          <w:sz w:val="22"/>
          <w:szCs w:val="22"/>
        </w:rPr>
        <w:t xml:space="preserve">ačun prihoda i rashoda i </w:t>
      </w:r>
      <w:r w:rsidR="009A702F">
        <w:rPr>
          <w:rFonts w:cstheme="minorHAnsi"/>
          <w:sz w:val="22"/>
          <w:szCs w:val="22"/>
        </w:rPr>
        <w:t>r</w:t>
      </w:r>
      <w:r w:rsidRPr="00000576">
        <w:rPr>
          <w:rFonts w:cstheme="minorHAnsi"/>
          <w:sz w:val="22"/>
          <w:szCs w:val="22"/>
        </w:rPr>
        <w:t>ačun financiranja</w:t>
      </w:r>
      <w:r w:rsidR="009A702F">
        <w:rPr>
          <w:rFonts w:cstheme="minorHAnsi"/>
          <w:sz w:val="22"/>
          <w:szCs w:val="22"/>
        </w:rPr>
        <w:t>)</w:t>
      </w:r>
    </w:p>
    <w:p w14:paraId="15787091" w14:textId="0725B2FD" w:rsidR="00FE152E" w:rsidRPr="00000576" w:rsidRDefault="00FE152E" w:rsidP="00165728">
      <w:pPr>
        <w:pStyle w:val="Odlomakpopisa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posebni dio </w:t>
      </w:r>
      <w:r w:rsidR="009A702F">
        <w:rPr>
          <w:rFonts w:cstheme="minorHAnsi"/>
          <w:sz w:val="22"/>
          <w:szCs w:val="22"/>
        </w:rPr>
        <w:t>(izvještaj</w:t>
      </w:r>
      <w:r w:rsidRPr="00000576">
        <w:rPr>
          <w:rFonts w:cstheme="minorHAnsi"/>
          <w:sz w:val="22"/>
          <w:szCs w:val="22"/>
        </w:rPr>
        <w:t xml:space="preserve"> po organizacijskoj i programskoj klasifikaciji</w:t>
      </w:r>
      <w:r w:rsidR="009A702F">
        <w:rPr>
          <w:rFonts w:cstheme="minorHAnsi"/>
          <w:sz w:val="22"/>
          <w:szCs w:val="22"/>
        </w:rPr>
        <w:t>)</w:t>
      </w:r>
      <w:r w:rsidRPr="00000576">
        <w:rPr>
          <w:rFonts w:cstheme="minorHAnsi"/>
          <w:sz w:val="22"/>
          <w:szCs w:val="22"/>
        </w:rPr>
        <w:t xml:space="preserve"> </w:t>
      </w:r>
    </w:p>
    <w:p w14:paraId="4C504117" w14:textId="215DC748" w:rsidR="009A702F" w:rsidRDefault="009A702F" w:rsidP="00165728">
      <w:pPr>
        <w:pStyle w:val="Odlomakpopisa"/>
        <w:numPr>
          <w:ilvl w:val="0"/>
          <w:numId w:val="3"/>
        </w:numPr>
        <w:spacing w:before="0" w:after="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obrazloženje (</w:t>
      </w:r>
      <w:r w:rsidRPr="00000576">
        <w:rPr>
          <w:rFonts w:cstheme="minorHAnsi"/>
          <w:sz w:val="22"/>
          <w:szCs w:val="22"/>
        </w:rPr>
        <w:t>ostvarenj</w:t>
      </w:r>
      <w:r>
        <w:rPr>
          <w:rFonts w:cstheme="minorHAnsi"/>
          <w:sz w:val="22"/>
          <w:szCs w:val="22"/>
        </w:rPr>
        <w:t>e</w:t>
      </w:r>
      <w:r w:rsidRPr="00000576">
        <w:rPr>
          <w:rFonts w:cstheme="minorHAnsi"/>
          <w:sz w:val="22"/>
          <w:szCs w:val="22"/>
        </w:rPr>
        <w:t xml:space="preserve"> prihoda i primitaka te rashoda i izdataka</w:t>
      </w:r>
      <w:r>
        <w:rPr>
          <w:rFonts w:cstheme="minorHAnsi"/>
          <w:sz w:val="22"/>
          <w:szCs w:val="22"/>
        </w:rPr>
        <w:t>)</w:t>
      </w:r>
    </w:p>
    <w:p w14:paraId="420B88D6" w14:textId="1E617CF0" w:rsidR="009A702F" w:rsidRPr="00000576" w:rsidRDefault="009A702F" w:rsidP="009A702F">
      <w:pPr>
        <w:pStyle w:val="Odlomakpopisa"/>
        <w:numPr>
          <w:ilvl w:val="0"/>
          <w:numId w:val="3"/>
        </w:numPr>
        <w:spacing w:before="0" w:after="12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posebne izvještaje (</w:t>
      </w:r>
      <w:r w:rsidRPr="00000576">
        <w:rPr>
          <w:rFonts w:cstheme="minorHAnsi"/>
          <w:sz w:val="22"/>
          <w:szCs w:val="22"/>
        </w:rPr>
        <w:t>izvještaj o korištenju proračunske zalihe</w:t>
      </w:r>
      <w:r>
        <w:rPr>
          <w:rFonts w:cstheme="minorHAnsi"/>
          <w:sz w:val="22"/>
          <w:szCs w:val="22"/>
        </w:rPr>
        <w:t>,</w:t>
      </w:r>
      <w:r w:rsidRPr="00000576">
        <w:rPr>
          <w:rFonts w:cstheme="minorHAnsi"/>
          <w:sz w:val="22"/>
          <w:szCs w:val="22"/>
        </w:rPr>
        <w:t xml:space="preserve"> izvještaj o zaduživanju na domaćem i stranom tržištu novca i kapitala </w:t>
      </w:r>
      <w:r>
        <w:rPr>
          <w:rFonts w:cstheme="minorHAnsi"/>
          <w:sz w:val="22"/>
          <w:szCs w:val="22"/>
        </w:rPr>
        <w:t>i</w:t>
      </w:r>
      <w:r w:rsidRPr="009A702F">
        <w:rPr>
          <w:rFonts w:cstheme="minorHAnsi"/>
          <w:sz w:val="22"/>
          <w:szCs w:val="22"/>
        </w:rPr>
        <w:t xml:space="preserve"> </w:t>
      </w:r>
      <w:r w:rsidRPr="00000576">
        <w:rPr>
          <w:rFonts w:cstheme="minorHAnsi"/>
          <w:sz w:val="22"/>
          <w:szCs w:val="22"/>
        </w:rPr>
        <w:t xml:space="preserve">izvještaj o danim jamstvima i </w:t>
      </w:r>
      <w:r>
        <w:rPr>
          <w:rFonts w:cstheme="minorHAnsi"/>
          <w:sz w:val="22"/>
          <w:szCs w:val="22"/>
        </w:rPr>
        <w:t>plaćanjima po protestiranim jamstvima)</w:t>
      </w:r>
    </w:p>
    <w:p w14:paraId="1A1720C7" w14:textId="5A33C281" w:rsidR="00043D16" w:rsidRPr="00000576" w:rsidRDefault="00043D16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U skladu sa zakonskom obvezom, sastavljen je </w:t>
      </w:r>
      <w:r w:rsidR="009A702F">
        <w:rPr>
          <w:rFonts w:cstheme="minorHAnsi"/>
          <w:sz w:val="22"/>
          <w:szCs w:val="22"/>
        </w:rPr>
        <w:t>Polug</w:t>
      </w:r>
      <w:r w:rsidRPr="00000576">
        <w:rPr>
          <w:rFonts w:cstheme="minorHAnsi"/>
          <w:sz w:val="22"/>
          <w:szCs w:val="22"/>
        </w:rPr>
        <w:t>odišnji izvještaj o izvršenju Proračuna.</w:t>
      </w:r>
    </w:p>
    <w:p w14:paraId="7BD8680C" w14:textId="579D94D6" w:rsidR="00023CB8" w:rsidRDefault="00DA487E" w:rsidP="00023CB8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DA487E">
        <w:rPr>
          <w:rFonts w:cstheme="minorHAnsi"/>
          <w:sz w:val="22"/>
          <w:szCs w:val="22"/>
        </w:rPr>
        <w:t>U nastavku ćemo usporediti polugodišnje ostvarenje Proračuna za 202</w:t>
      </w:r>
      <w:r w:rsidR="006A2001">
        <w:rPr>
          <w:rFonts w:cstheme="minorHAnsi"/>
          <w:sz w:val="22"/>
          <w:szCs w:val="22"/>
        </w:rPr>
        <w:t>4</w:t>
      </w:r>
      <w:r w:rsidRPr="00DA487E">
        <w:rPr>
          <w:rFonts w:cstheme="minorHAnsi"/>
          <w:sz w:val="22"/>
          <w:szCs w:val="22"/>
        </w:rPr>
        <w:t xml:space="preserve">. godinu sa </w:t>
      </w:r>
      <w:r w:rsidR="006A2001">
        <w:rPr>
          <w:rFonts w:cstheme="minorHAnsi"/>
          <w:sz w:val="22"/>
          <w:szCs w:val="22"/>
        </w:rPr>
        <w:t>P</w:t>
      </w:r>
      <w:r w:rsidRPr="00DA487E">
        <w:rPr>
          <w:rFonts w:cstheme="minorHAnsi"/>
          <w:sz w:val="22"/>
          <w:szCs w:val="22"/>
        </w:rPr>
        <w:t>lanom za 202</w:t>
      </w:r>
      <w:r w:rsidR="006A2001">
        <w:rPr>
          <w:rFonts w:cstheme="minorHAnsi"/>
          <w:sz w:val="22"/>
          <w:szCs w:val="22"/>
        </w:rPr>
        <w:t>4</w:t>
      </w:r>
      <w:r w:rsidRPr="00DA487E">
        <w:rPr>
          <w:rFonts w:cstheme="minorHAnsi"/>
          <w:sz w:val="22"/>
          <w:szCs w:val="22"/>
        </w:rPr>
        <w:t>. godinu, te sa polugodišnjim izvršenjem proračuna za 202</w:t>
      </w:r>
      <w:r w:rsidR="006A2001">
        <w:rPr>
          <w:rFonts w:cstheme="minorHAnsi"/>
          <w:sz w:val="22"/>
          <w:szCs w:val="22"/>
        </w:rPr>
        <w:t>3</w:t>
      </w:r>
      <w:r w:rsidRPr="00DA487E">
        <w:rPr>
          <w:rFonts w:cstheme="minorHAnsi"/>
          <w:sz w:val="22"/>
          <w:szCs w:val="22"/>
        </w:rPr>
        <w:t>. godinu.</w:t>
      </w:r>
    </w:p>
    <w:p w14:paraId="3F962CCD" w14:textId="77777777" w:rsidR="00FE152E" w:rsidRPr="00000576" w:rsidRDefault="00FE152E" w:rsidP="00000576">
      <w:pPr>
        <w:spacing w:before="0" w:after="120" w:line="240" w:lineRule="auto"/>
        <w:jc w:val="both"/>
        <w:rPr>
          <w:rFonts w:cstheme="minorHAnsi"/>
          <w:b/>
          <w:sz w:val="22"/>
          <w:szCs w:val="22"/>
        </w:rPr>
      </w:pPr>
    </w:p>
    <w:p w14:paraId="7F419640" w14:textId="7E7CE1A3" w:rsidR="00FE152E" w:rsidRPr="00000576" w:rsidRDefault="00FE152E" w:rsidP="00165728">
      <w:pPr>
        <w:pStyle w:val="Naslov1"/>
        <w:numPr>
          <w:ilvl w:val="0"/>
          <w:numId w:val="4"/>
        </w:numPr>
        <w:spacing w:before="0" w:after="120"/>
        <w:rPr>
          <w:rFonts w:cstheme="minorHAnsi"/>
          <w:b/>
        </w:rPr>
      </w:pPr>
      <w:bookmarkStart w:id="4" w:name="_Toc144891682"/>
      <w:r w:rsidRPr="00000576">
        <w:rPr>
          <w:rFonts w:cstheme="minorHAnsi"/>
          <w:b/>
        </w:rPr>
        <w:t>OBRAZLOŽENJE OSTVARENJA PRIHODA I PRIMITAKA, RASHODA I IZDATAKA PRORAČUNA</w:t>
      </w:r>
      <w:bookmarkEnd w:id="4"/>
    </w:p>
    <w:p w14:paraId="228A29D7" w14:textId="18F041D1" w:rsidR="003348CE" w:rsidRDefault="004D5A0D" w:rsidP="003348CE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4D5A0D">
        <w:rPr>
          <w:rFonts w:cstheme="minorHAnsi"/>
          <w:sz w:val="22"/>
          <w:szCs w:val="22"/>
        </w:rPr>
        <w:t xml:space="preserve">Ukupni prihodi i primici u </w:t>
      </w:r>
      <w:r w:rsidR="00AF72B3">
        <w:rPr>
          <w:rFonts w:cstheme="minorHAnsi"/>
          <w:sz w:val="22"/>
          <w:szCs w:val="22"/>
        </w:rPr>
        <w:t xml:space="preserve">prvom polugodištu </w:t>
      </w:r>
      <w:r w:rsidRPr="004D5A0D">
        <w:rPr>
          <w:rFonts w:cstheme="minorHAnsi"/>
          <w:sz w:val="22"/>
          <w:szCs w:val="22"/>
        </w:rPr>
        <w:t>202</w:t>
      </w:r>
      <w:r w:rsidR="00364101">
        <w:rPr>
          <w:rFonts w:cstheme="minorHAnsi"/>
          <w:sz w:val="22"/>
          <w:szCs w:val="22"/>
        </w:rPr>
        <w:t>4</w:t>
      </w:r>
      <w:r w:rsidRPr="004D5A0D">
        <w:rPr>
          <w:rFonts w:cstheme="minorHAnsi"/>
          <w:sz w:val="22"/>
          <w:szCs w:val="22"/>
        </w:rPr>
        <w:t>. godin</w:t>
      </w:r>
      <w:r w:rsidR="00AF72B3">
        <w:rPr>
          <w:rFonts w:cstheme="minorHAnsi"/>
          <w:sz w:val="22"/>
          <w:szCs w:val="22"/>
        </w:rPr>
        <w:t>e</w:t>
      </w:r>
      <w:r w:rsidRPr="004D5A0D">
        <w:rPr>
          <w:rFonts w:cstheme="minorHAnsi"/>
          <w:sz w:val="22"/>
          <w:szCs w:val="22"/>
        </w:rPr>
        <w:t xml:space="preserve"> ostvareni su u iznosu od </w:t>
      </w:r>
      <w:r w:rsidR="00364101" w:rsidRPr="00364101">
        <w:rPr>
          <w:rFonts w:cstheme="minorHAnsi"/>
          <w:sz w:val="22"/>
          <w:szCs w:val="22"/>
        </w:rPr>
        <w:t>404.815,14</w:t>
      </w:r>
      <w:r w:rsidR="00AF72B3">
        <w:rPr>
          <w:rFonts w:cstheme="minorHAnsi"/>
          <w:sz w:val="22"/>
          <w:szCs w:val="22"/>
        </w:rPr>
        <w:t xml:space="preserve"> eura</w:t>
      </w:r>
      <w:r w:rsidRPr="004D5A0D">
        <w:rPr>
          <w:rFonts w:cstheme="minorHAnsi"/>
          <w:sz w:val="22"/>
          <w:szCs w:val="22"/>
        </w:rPr>
        <w:t xml:space="preserve">, što u usporedbi sa </w:t>
      </w:r>
      <w:r w:rsidR="00AF72B3">
        <w:rPr>
          <w:rFonts w:cstheme="minorHAnsi"/>
          <w:sz w:val="22"/>
          <w:szCs w:val="22"/>
        </w:rPr>
        <w:t>prvim polugodištem 202</w:t>
      </w:r>
      <w:r w:rsidR="00364101">
        <w:rPr>
          <w:rFonts w:cstheme="minorHAnsi"/>
          <w:sz w:val="22"/>
          <w:szCs w:val="22"/>
        </w:rPr>
        <w:t>3</w:t>
      </w:r>
      <w:r w:rsidR="00AF72B3">
        <w:rPr>
          <w:rFonts w:cstheme="minorHAnsi"/>
          <w:sz w:val="22"/>
          <w:szCs w:val="22"/>
        </w:rPr>
        <w:t>. godine</w:t>
      </w:r>
      <w:r w:rsidRPr="004D5A0D">
        <w:rPr>
          <w:rFonts w:cstheme="minorHAnsi"/>
          <w:sz w:val="22"/>
          <w:szCs w:val="22"/>
        </w:rPr>
        <w:t xml:space="preserve"> u kojoj su ostvareni ukupni prihodi i primici u iznosu od </w:t>
      </w:r>
      <w:r w:rsidR="00364101" w:rsidRPr="00364101">
        <w:rPr>
          <w:rFonts w:cstheme="minorHAnsi"/>
          <w:sz w:val="22"/>
          <w:szCs w:val="22"/>
        </w:rPr>
        <w:t>307.559,93</w:t>
      </w:r>
      <w:r w:rsidRPr="004D5A0D">
        <w:rPr>
          <w:rFonts w:cstheme="minorHAnsi"/>
          <w:sz w:val="22"/>
          <w:szCs w:val="22"/>
        </w:rPr>
        <w:t xml:space="preserve"> </w:t>
      </w:r>
      <w:r w:rsidR="00AF72B3">
        <w:rPr>
          <w:rFonts w:cstheme="minorHAnsi"/>
          <w:sz w:val="22"/>
          <w:szCs w:val="22"/>
        </w:rPr>
        <w:t>eura</w:t>
      </w:r>
      <w:r w:rsidRPr="004D5A0D">
        <w:rPr>
          <w:rFonts w:cstheme="minorHAnsi"/>
          <w:sz w:val="22"/>
          <w:szCs w:val="22"/>
        </w:rPr>
        <w:t xml:space="preserve"> predstavlja </w:t>
      </w:r>
      <w:r w:rsidR="00364101">
        <w:rPr>
          <w:rFonts w:cstheme="minorHAnsi"/>
          <w:sz w:val="22"/>
          <w:szCs w:val="22"/>
        </w:rPr>
        <w:t>povećanje</w:t>
      </w:r>
      <w:r w:rsidRPr="004D5A0D">
        <w:rPr>
          <w:rFonts w:cstheme="minorHAnsi"/>
          <w:sz w:val="22"/>
          <w:szCs w:val="22"/>
        </w:rPr>
        <w:t xml:space="preserve"> od </w:t>
      </w:r>
      <w:r w:rsidR="00364101">
        <w:rPr>
          <w:rFonts w:cstheme="minorHAnsi"/>
          <w:sz w:val="22"/>
          <w:szCs w:val="22"/>
        </w:rPr>
        <w:t>31,62</w:t>
      </w:r>
      <w:r w:rsidR="003348CE">
        <w:rPr>
          <w:rFonts w:cstheme="minorHAnsi"/>
          <w:sz w:val="22"/>
          <w:szCs w:val="22"/>
        </w:rPr>
        <w:t>%.</w:t>
      </w:r>
    </w:p>
    <w:p w14:paraId="74F4152D" w14:textId="6467443D" w:rsidR="008D30E5" w:rsidRPr="003348CE" w:rsidRDefault="004D5A0D" w:rsidP="003348CE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4D5A0D">
        <w:rPr>
          <w:rFonts w:cstheme="minorHAnsi"/>
          <w:sz w:val="22"/>
          <w:szCs w:val="22"/>
        </w:rPr>
        <w:t xml:space="preserve">Ukupni rashodi i izdaci u </w:t>
      </w:r>
      <w:r w:rsidR="00AF72B3">
        <w:rPr>
          <w:rFonts w:cstheme="minorHAnsi"/>
          <w:sz w:val="22"/>
          <w:szCs w:val="22"/>
        </w:rPr>
        <w:t xml:space="preserve">prvom polugodištu </w:t>
      </w:r>
      <w:r w:rsidRPr="004D5A0D">
        <w:rPr>
          <w:rFonts w:cstheme="minorHAnsi"/>
          <w:sz w:val="22"/>
          <w:szCs w:val="22"/>
        </w:rPr>
        <w:t>202</w:t>
      </w:r>
      <w:r w:rsidR="00364101">
        <w:rPr>
          <w:rFonts w:cstheme="minorHAnsi"/>
          <w:sz w:val="22"/>
          <w:szCs w:val="22"/>
        </w:rPr>
        <w:t>4</w:t>
      </w:r>
      <w:r w:rsidRPr="004D5A0D">
        <w:rPr>
          <w:rFonts w:cstheme="minorHAnsi"/>
          <w:sz w:val="22"/>
          <w:szCs w:val="22"/>
        </w:rPr>
        <w:t>. godin</w:t>
      </w:r>
      <w:r w:rsidR="00AF72B3">
        <w:rPr>
          <w:rFonts w:cstheme="minorHAnsi"/>
          <w:sz w:val="22"/>
          <w:szCs w:val="22"/>
        </w:rPr>
        <w:t>e</w:t>
      </w:r>
      <w:r w:rsidRPr="004D5A0D">
        <w:rPr>
          <w:rFonts w:cstheme="minorHAnsi"/>
          <w:sz w:val="22"/>
          <w:szCs w:val="22"/>
        </w:rPr>
        <w:t xml:space="preserve"> ostvareni su u iznosu od </w:t>
      </w:r>
      <w:r w:rsidR="00364101" w:rsidRPr="00364101">
        <w:rPr>
          <w:rFonts w:cstheme="minorHAnsi"/>
          <w:sz w:val="22"/>
          <w:szCs w:val="22"/>
        </w:rPr>
        <w:t>392.861,35</w:t>
      </w:r>
      <w:r w:rsidR="00AF72B3">
        <w:rPr>
          <w:rFonts w:cstheme="minorHAnsi"/>
          <w:sz w:val="22"/>
          <w:szCs w:val="22"/>
        </w:rPr>
        <w:t xml:space="preserve"> eura</w:t>
      </w:r>
      <w:r w:rsidRPr="004D5A0D">
        <w:rPr>
          <w:rFonts w:cstheme="minorHAnsi"/>
          <w:sz w:val="22"/>
          <w:szCs w:val="22"/>
        </w:rPr>
        <w:t xml:space="preserve">, što je u odnosu na </w:t>
      </w:r>
      <w:r w:rsidR="00AF72B3">
        <w:rPr>
          <w:rFonts w:cstheme="minorHAnsi"/>
          <w:sz w:val="22"/>
          <w:szCs w:val="22"/>
        </w:rPr>
        <w:t xml:space="preserve">isto razdoblje </w:t>
      </w:r>
      <w:r w:rsidRPr="004D5A0D">
        <w:rPr>
          <w:rFonts w:cstheme="minorHAnsi"/>
          <w:sz w:val="22"/>
          <w:szCs w:val="22"/>
        </w:rPr>
        <w:t>20</w:t>
      </w:r>
      <w:r w:rsidR="00C85A6A">
        <w:rPr>
          <w:rFonts w:cstheme="minorHAnsi"/>
          <w:sz w:val="22"/>
          <w:szCs w:val="22"/>
        </w:rPr>
        <w:t>2</w:t>
      </w:r>
      <w:r w:rsidR="00364101">
        <w:rPr>
          <w:rFonts w:cstheme="minorHAnsi"/>
          <w:sz w:val="22"/>
          <w:szCs w:val="22"/>
        </w:rPr>
        <w:t>3</w:t>
      </w:r>
      <w:r w:rsidRPr="004D5A0D">
        <w:rPr>
          <w:rFonts w:cstheme="minorHAnsi"/>
          <w:sz w:val="22"/>
          <w:szCs w:val="22"/>
        </w:rPr>
        <w:t>. godin</w:t>
      </w:r>
      <w:r w:rsidR="00AF72B3">
        <w:rPr>
          <w:rFonts w:cstheme="minorHAnsi"/>
          <w:sz w:val="22"/>
          <w:szCs w:val="22"/>
        </w:rPr>
        <w:t>e</w:t>
      </w:r>
      <w:r w:rsidRPr="004D5A0D">
        <w:rPr>
          <w:rFonts w:cstheme="minorHAnsi"/>
          <w:sz w:val="22"/>
          <w:szCs w:val="22"/>
        </w:rPr>
        <w:t xml:space="preserve"> </w:t>
      </w:r>
      <w:r w:rsidR="00364101">
        <w:rPr>
          <w:rFonts w:cstheme="minorHAnsi"/>
          <w:sz w:val="22"/>
          <w:szCs w:val="22"/>
        </w:rPr>
        <w:t>povećanje</w:t>
      </w:r>
      <w:r w:rsidRPr="004D5A0D">
        <w:rPr>
          <w:rFonts w:cstheme="minorHAnsi"/>
          <w:sz w:val="22"/>
          <w:szCs w:val="22"/>
        </w:rPr>
        <w:t xml:space="preserve"> od </w:t>
      </w:r>
      <w:r w:rsidR="00393CA1">
        <w:rPr>
          <w:rFonts w:cstheme="minorHAnsi"/>
          <w:sz w:val="22"/>
          <w:szCs w:val="22"/>
        </w:rPr>
        <w:t>18,63</w:t>
      </w:r>
      <w:r w:rsidR="003348CE">
        <w:rPr>
          <w:rFonts w:cstheme="minorHAnsi"/>
          <w:sz w:val="22"/>
          <w:szCs w:val="22"/>
        </w:rPr>
        <w:t>%.</w:t>
      </w:r>
    </w:p>
    <w:p w14:paraId="572D50F9" w14:textId="3B767154" w:rsidR="00FD54B5" w:rsidRDefault="00FD54B5" w:rsidP="00FD54B5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4D5A0D">
        <w:rPr>
          <w:rFonts w:cstheme="minorHAnsi"/>
          <w:sz w:val="22"/>
          <w:szCs w:val="22"/>
        </w:rPr>
        <w:t xml:space="preserve">U odnosu na </w:t>
      </w:r>
      <w:r w:rsidR="00393CA1">
        <w:rPr>
          <w:rFonts w:cstheme="minorHAnsi"/>
          <w:sz w:val="22"/>
          <w:szCs w:val="22"/>
        </w:rPr>
        <w:t>P</w:t>
      </w:r>
      <w:r w:rsidRPr="004D5A0D">
        <w:rPr>
          <w:rFonts w:cstheme="minorHAnsi"/>
          <w:sz w:val="22"/>
          <w:szCs w:val="22"/>
        </w:rPr>
        <w:t>lan za 202</w:t>
      </w:r>
      <w:r w:rsidR="00393CA1">
        <w:rPr>
          <w:rFonts w:cstheme="minorHAnsi"/>
          <w:sz w:val="22"/>
          <w:szCs w:val="22"/>
        </w:rPr>
        <w:t>4</w:t>
      </w:r>
      <w:r w:rsidRPr="004D5A0D">
        <w:rPr>
          <w:rFonts w:cstheme="minorHAnsi"/>
          <w:sz w:val="22"/>
          <w:szCs w:val="22"/>
        </w:rPr>
        <w:t xml:space="preserve">. godinu, ostvareno je </w:t>
      </w:r>
      <w:r w:rsidR="00393CA1">
        <w:rPr>
          <w:rFonts w:cstheme="minorHAnsi"/>
          <w:sz w:val="22"/>
          <w:szCs w:val="22"/>
        </w:rPr>
        <w:t>14,44</w:t>
      </w:r>
      <w:r w:rsidRPr="004D5A0D">
        <w:rPr>
          <w:rFonts w:cstheme="minorHAnsi"/>
          <w:sz w:val="22"/>
          <w:szCs w:val="22"/>
        </w:rPr>
        <w:t>% planiranih prihoda i primitaka</w:t>
      </w:r>
      <w:r>
        <w:rPr>
          <w:rFonts w:cstheme="minorHAnsi"/>
          <w:sz w:val="22"/>
          <w:szCs w:val="22"/>
        </w:rPr>
        <w:t xml:space="preserve">, te </w:t>
      </w:r>
      <w:r w:rsidR="00393CA1">
        <w:rPr>
          <w:rFonts w:cstheme="minorHAnsi"/>
          <w:sz w:val="22"/>
          <w:szCs w:val="22"/>
        </w:rPr>
        <w:t>14,02</w:t>
      </w:r>
      <w:r w:rsidRPr="004D5A0D">
        <w:rPr>
          <w:rFonts w:cstheme="minorHAnsi"/>
          <w:sz w:val="22"/>
          <w:szCs w:val="22"/>
        </w:rPr>
        <w:t>% planiranih rashoda i izdataka.</w:t>
      </w:r>
      <w:r w:rsidRPr="00AF1F47">
        <w:rPr>
          <w:rFonts w:cstheme="minorHAnsi"/>
          <w:color w:val="FF0000"/>
          <w:sz w:val="22"/>
          <w:szCs w:val="22"/>
        </w:rPr>
        <w:t xml:space="preserve"> </w:t>
      </w:r>
      <w:r w:rsidR="00AF72B3" w:rsidRPr="00AF72B3">
        <w:rPr>
          <w:rFonts w:cstheme="minorHAnsi"/>
          <w:sz w:val="22"/>
          <w:szCs w:val="22"/>
        </w:rPr>
        <w:t>Postotak ostvarenja Proračuna je nizak, kao i svake godine, pošto se veći dio proračuna Općine Levanjska Varoš realizira u drugoj polovici godine.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8"/>
        <w:gridCol w:w="1275"/>
        <w:gridCol w:w="1277"/>
        <w:gridCol w:w="1379"/>
        <w:gridCol w:w="890"/>
        <w:gridCol w:w="957"/>
      </w:tblGrid>
      <w:tr w:rsidR="006A2001" w:rsidRPr="006A2001" w14:paraId="7506960F" w14:textId="77777777" w:rsidTr="00BB318A">
        <w:trPr>
          <w:trHeight w:val="227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50712C1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 P I S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B671D86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 2023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DE48C59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2024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3E9171D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Ostvarenje 2024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02872C7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 3/1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AC7FB75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Indeks 3/2</w:t>
            </w:r>
          </w:p>
        </w:tc>
      </w:tr>
      <w:tr w:rsidR="006A2001" w:rsidRPr="006A2001" w14:paraId="6DDF5C85" w14:textId="77777777" w:rsidTr="00BB318A">
        <w:trPr>
          <w:trHeight w:val="227"/>
        </w:trPr>
        <w:tc>
          <w:tcPr>
            <w:tcW w:w="22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18B7C67F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5D46B227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C2D6EF6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606C9AD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D73EADA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6305BAE2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364101" w:rsidRPr="006A2001" w14:paraId="1E8EA7EC" w14:textId="77777777" w:rsidTr="00BB318A">
        <w:trPr>
          <w:trHeight w:val="227"/>
        </w:trPr>
        <w:tc>
          <w:tcPr>
            <w:tcW w:w="22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D5427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21D22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46755" w14:textId="77777777" w:rsidR="006A2001" w:rsidRPr="006A2001" w:rsidRDefault="006A2001" w:rsidP="006A200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D1ABF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7D653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5E5D4" w14:textId="77777777" w:rsidR="006A2001" w:rsidRPr="006A2001" w:rsidRDefault="006A2001" w:rsidP="006A200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A2001" w:rsidRPr="006A2001" w14:paraId="26A8C75C" w14:textId="77777777" w:rsidTr="00BB318A">
        <w:trPr>
          <w:trHeight w:val="227"/>
        </w:trPr>
        <w:tc>
          <w:tcPr>
            <w:tcW w:w="2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61CCBB29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A. UKUPNI PRIHODI I PRIMICI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0634F71A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307.559,93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38F866CE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2.803.000,00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2C8CB5D1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404.815,14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2D27E99F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131,62%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6F3A324E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14,44%</w:t>
            </w:r>
          </w:p>
        </w:tc>
      </w:tr>
      <w:tr w:rsidR="00364101" w:rsidRPr="006A2001" w14:paraId="6BA28490" w14:textId="77777777" w:rsidTr="00BB318A">
        <w:trPr>
          <w:trHeight w:val="227"/>
        </w:trPr>
        <w:tc>
          <w:tcPr>
            <w:tcW w:w="22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F4D2FD" w14:textId="77777777" w:rsidR="006A2001" w:rsidRPr="006A2001" w:rsidRDefault="006A2001" w:rsidP="006A2001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UKUPNO PRIHODA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4F0116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307.559,93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98647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2.721.500,00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D1311B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394.815,14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58E15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128,37%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89B16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14,51%</w:t>
            </w:r>
          </w:p>
        </w:tc>
      </w:tr>
      <w:tr w:rsidR="00364101" w:rsidRPr="006A2001" w14:paraId="6AAD57BA" w14:textId="77777777" w:rsidTr="00BB318A">
        <w:trPr>
          <w:trHeight w:val="227"/>
        </w:trPr>
        <w:tc>
          <w:tcPr>
            <w:tcW w:w="22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485E4" w14:textId="77777777" w:rsidR="006A2001" w:rsidRPr="006A2001" w:rsidRDefault="006A2001" w:rsidP="006A2001">
            <w:pPr>
              <w:spacing w:before="0"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Prihodi poslovanja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16628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303.698,12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8B657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1.903.100,00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80F15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382.245,07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76C8D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125,86%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C217C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20,09%</w:t>
            </w:r>
          </w:p>
        </w:tc>
      </w:tr>
      <w:tr w:rsidR="00364101" w:rsidRPr="006A2001" w14:paraId="0D342BEE" w14:textId="77777777" w:rsidTr="00BB318A">
        <w:trPr>
          <w:trHeight w:val="227"/>
        </w:trPr>
        <w:tc>
          <w:tcPr>
            <w:tcW w:w="22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B77EE" w14:textId="77777777" w:rsidR="006A2001" w:rsidRPr="006A2001" w:rsidRDefault="006A2001" w:rsidP="006A2001">
            <w:pPr>
              <w:spacing w:before="0"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49484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3.861,81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2687E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818.400,00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F69C3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12.570,07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93C53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325,50%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C2355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1,54%</w:t>
            </w:r>
          </w:p>
        </w:tc>
      </w:tr>
      <w:tr w:rsidR="00364101" w:rsidRPr="006A2001" w14:paraId="2A98B155" w14:textId="77777777" w:rsidTr="00BB318A">
        <w:trPr>
          <w:trHeight w:val="227"/>
        </w:trPr>
        <w:tc>
          <w:tcPr>
            <w:tcW w:w="2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5F7D8" w14:textId="77777777" w:rsidR="006A2001" w:rsidRPr="006A2001" w:rsidRDefault="006A2001" w:rsidP="006A2001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1DDA8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2134BF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81.500,00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F15E81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3298A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D998E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12,27%</w:t>
            </w:r>
          </w:p>
        </w:tc>
      </w:tr>
      <w:tr w:rsidR="00364101" w:rsidRPr="006A2001" w14:paraId="3418D894" w14:textId="77777777" w:rsidTr="00BB318A">
        <w:trPr>
          <w:trHeight w:val="227"/>
        </w:trPr>
        <w:tc>
          <w:tcPr>
            <w:tcW w:w="22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7CE10" w14:textId="77777777" w:rsidR="006A2001" w:rsidRPr="006A2001" w:rsidRDefault="006A2001" w:rsidP="006A2001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920E3" w14:textId="77777777" w:rsidR="006A2001" w:rsidRPr="006A2001" w:rsidRDefault="006A2001" w:rsidP="006A2001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FA5F2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E398" w14:textId="77777777" w:rsidR="006A2001" w:rsidRPr="006A2001" w:rsidRDefault="006A2001" w:rsidP="006A200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11E46" w14:textId="77777777" w:rsidR="006A2001" w:rsidRPr="006A2001" w:rsidRDefault="006A2001" w:rsidP="006A200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35E63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A2001" w:rsidRPr="006A2001" w14:paraId="0838479D" w14:textId="77777777" w:rsidTr="00BB318A">
        <w:trPr>
          <w:trHeight w:val="227"/>
        </w:trPr>
        <w:tc>
          <w:tcPr>
            <w:tcW w:w="2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38396CB9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B. UKUPNI RASHODI I IZDACI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0E0CCF93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331.161,88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1C83F021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2.803.000,00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0C9FDE89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392.861,35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6C28D840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118,63%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75FD0F13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14,02%</w:t>
            </w:r>
          </w:p>
        </w:tc>
      </w:tr>
      <w:tr w:rsidR="00364101" w:rsidRPr="006A2001" w14:paraId="3734A821" w14:textId="77777777" w:rsidTr="00BB318A">
        <w:trPr>
          <w:trHeight w:val="227"/>
        </w:trPr>
        <w:tc>
          <w:tcPr>
            <w:tcW w:w="223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00150" w14:textId="77777777" w:rsidR="006A2001" w:rsidRPr="006A2001" w:rsidRDefault="006A2001" w:rsidP="006A2001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RASHODA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F4B81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326.200,64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606E01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2.164.100,00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68E38C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358.795,20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EE3AC4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109,99%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140ED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16,58%</w:t>
            </w:r>
          </w:p>
        </w:tc>
      </w:tr>
      <w:tr w:rsidR="00364101" w:rsidRPr="006A2001" w14:paraId="6CF2E701" w14:textId="77777777" w:rsidTr="00BB318A">
        <w:trPr>
          <w:trHeight w:val="227"/>
        </w:trPr>
        <w:tc>
          <w:tcPr>
            <w:tcW w:w="22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2C045" w14:textId="77777777" w:rsidR="006A2001" w:rsidRPr="006A2001" w:rsidRDefault="006A2001" w:rsidP="006A2001">
            <w:pPr>
              <w:spacing w:before="0"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Rashodi poslovanja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6FF72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272.246,67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26CF1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689.000,00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A19B1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194.532,42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8615C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71,45%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BD9E5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28,23%</w:t>
            </w:r>
          </w:p>
        </w:tc>
      </w:tr>
      <w:tr w:rsidR="00364101" w:rsidRPr="006A2001" w14:paraId="246E09BF" w14:textId="77777777" w:rsidTr="00BB318A">
        <w:trPr>
          <w:trHeight w:val="227"/>
        </w:trPr>
        <w:tc>
          <w:tcPr>
            <w:tcW w:w="22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4EFC6" w14:textId="77777777" w:rsidR="006A2001" w:rsidRPr="006A2001" w:rsidRDefault="006A2001" w:rsidP="006A2001">
            <w:pPr>
              <w:spacing w:before="0"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F53AD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53.953,97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9D808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1.475.100,00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18FFB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164.262,78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D91A9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304,45%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A9D571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11,14%</w:t>
            </w:r>
          </w:p>
        </w:tc>
      </w:tr>
      <w:tr w:rsidR="00364101" w:rsidRPr="006A2001" w14:paraId="02A2311A" w14:textId="77777777" w:rsidTr="00BB318A">
        <w:trPr>
          <w:trHeight w:val="227"/>
        </w:trPr>
        <w:tc>
          <w:tcPr>
            <w:tcW w:w="2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78B8FB" w14:textId="77777777" w:rsidR="006A2001" w:rsidRPr="006A2001" w:rsidRDefault="006A2001" w:rsidP="006A2001">
            <w:pPr>
              <w:spacing w:before="0"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FINAN. IMOVINU I OTPLATE ZAJMOVA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5D51CC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4.961,24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17C611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638.900,00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6548B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34.066,15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B60E39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686,65%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C5D3F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5,33%</w:t>
            </w:r>
          </w:p>
        </w:tc>
      </w:tr>
      <w:tr w:rsidR="00364101" w:rsidRPr="006A2001" w14:paraId="08934BB9" w14:textId="77777777" w:rsidTr="00BB318A">
        <w:trPr>
          <w:trHeight w:val="227"/>
        </w:trPr>
        <w:tc>
          <w:tcPr>
            <w:tcW w:w="22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265A0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160ED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03E9C" w14:textId="77777777" w:rsidR="006A2001" w:rsidRPr="006A2001" w:rsidRDefault="006A2001" w:rsidP="006A200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ED0B1" w14:textId="77777777" w:rsidR="006A2001" w:rsidRPr="006A2001" w:rsidRDefault="006A2001" w:rsidP="006A200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91768" w14:textId="77777777" w:rsidR="006A2001" w:rsidRPr="006A2001" w:rsidRDefault="006A2001" w:rsidP="006A200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3A30F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A2001" w:rsidRPr="006A2001" w14:paraId="7CA018D1" w14:textId="77777777" w:rsidTr="00BB318A">
        <w:trPr>
          <w:trHeight w:val="227"/>
        </w:trPr>
        <w:tc>
          <w:tcPr>
            <w:tcW w:w="2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15CCA072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RAZLIKA VIŠAK/MANJAK (A-B)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6633FDA5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-23.601,95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739680AD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6FD34F9A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11.953,79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18A1B05F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-50,65%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0DF7F5DF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</w:t>
            </w:r>
          </w:p>
        </w:tc>
      </w:tr>
      <w:tr w:rsidR="00364101" w:rsidRPr="006A2001" w14:paraId="703D7A68" w14:textId="77777777" w:rsidTr="00BB318A">
        <w:trPr>
          <w:trHeight w:val="227"/>
        </w:trPr>
        <w:tc>
          <w:tcPr>
            <w:tcW w:w="22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4FB98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4BED2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97EDF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4D8CC" w14:textId="77777777" w:rsidR="006A2001" w:rsidRPr="006A2001" w:rsidRDefault="006A2001" w:rsidP="006A200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DF542" w14:textId="77777777" w:rsidR="006A2001" w:rsidRPr="006A2001" w:rsidRDefault="006A2001" w:rsidP="006A200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6B514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64101" w:rsidRPr="006A2001" w14:paraId="08B471DD" w14:textId="77777777" w:rsidTr="00BB318A">
        <w:trPr>
          <w:trHeight w:val="227"/>
        </w:trPr>
        <w:tc>
          <w:tcPr>
            <w:tcW w:w="22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018DE630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C. RASPOLOŽIVA SREDSTAVA IZ PRETHODNIH GODINA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BC48366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7.805,75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7CF1B03A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5F029402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52.071,65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14:paraId="00F50325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667,09%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528663EE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364101" w:rsidRPr="006A2001" w14:paraId="5BFAC90B" w14:textId="77777777" w:rsidTr="00BB318A">
        <w:trPr>
          <w:trHeight w:val="227"/>
        </w:trPr>
        <w:tc>
          <w:tcPr>
            <w:tcW w:w="22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0E668" w14:textId="77777777" w:rsidR="006A2001" w:rsidRPr="006A2001" w:rsidRDefault="006A2001" w:rsidP="006A2001">
            <w:pPr>
              <w:spacing w:before="0"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Ukupan donos viška/manjka iz prethodnih godina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3E353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7.805,75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49BD5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AE217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52.071,65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07089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667,09%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A0BFD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364101" w:rsidRPr="006A2001" w14:paraId="08C03034" w14:textId="77777777" w:rsidTr="00BB318A">
        <w:trPr>
          <w:trHeight w:val="227"/>
        </w:trPr>
        <w:tc>
          <w:tcPr>
            <w:tcW w:w="22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F868F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9F470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35A62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F3873" w14:textId="77777777" w:rsidR="006A2001" w:rsidRPr="006A2001" w:rsidRDefault="006A2001" w:rsidP="006A200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534E6" w14:textId="77777777" w:rsidR="006A2001" w:rsidRPr="006A2001" w:rsidRDefault="006A2001" w:rsidP="006A200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B19F8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6A2001" w:rsidRPr="006A2001" w14:paraId="1FF196DD" w14:textId="77777777" w:rsidTr="00BB318A">
        <w:trPr>
          <w:trHeight w:val="227"/>
        </w:trPr>
        <w:tc>
          <w:tcPr>
            <w:tcW w:w="22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5005E261" w14:textId="77777777" w:rsidR="006A2001" w:rsidRPr="006A2001" w:rsidRDefault="006A2001" w:rsidP="006A2001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D. VIŠAK/MANJAK TEKUĆE GODINE + RASPOLOŽIVA SREDSTVA IZ PRETHODNIH GODINA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0CCA7284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-15.796,20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4D97EC2C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584C32FE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64.025,44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14:paraId="7E4D2066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-405,32%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6FE0D8FF" w14:textId="77777777" w:rsidR="006A2001" w:rsidRPr="006A2001" w:rsidRDefault="006A2001" w:rsidP="006A200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A20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</w:t>
            </w:r>
          </w:p>
        </w:tc>
      </w:tr>
    </w:tbl>
    <w:p w14:paraId="547EBD4F" w14:textId="77777777" w:rsidR="006A2001" w:rsidRDefault="006A2001" w:rsidP="00FD54B5">
      <w:pPr>
        <w:spacing w:before="120" w:after="120" w:line="240" w:lineRule="auto"/>
        <w:jc w:val="both"/>
        <w:rPr>
          <w:rFonts w:cstheme="minorHAnsi"/>
          <w:color w:val="FF0000"/>
          <w:sz w:val="22"/>
          <w:szCs w:val="22"/>
        </w:rPr>
      </w:pPr>
    </w:p>
    <w:p w14:paraId="3D2F50E5" w14:textId="3A60DF13" w:rsidR="00226A56" w:rsidRDefault="00226A56" w:rsidP="008D30E5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226A56">
        <w:rPr>
          <w:rFonts w:cstheme="minorHAnsi"/>
          <w:sz w:val="22"/>
          <w:szCs w:val="22"/>
        </w:rPr>
        <w:t xml:space="preserve">Iz navedenog proizlazi da je u </w:t>
      </w:r>
      <w:r w:rsidR="00AF72B3">
        <w:rPr>
          <w:rFonts w:cstheme="minorHAnsi"/>
          <w:sz w:val="22"/>
          <w:szCs w:val="22"/>
        </w:rPr>
        <w:t xml:space="preserve">prvoj polovici </w:t>
      </w:r>
      <w:r w:rsidRPr="00226A56">
        <w:rPr>
          <w:rFonts w:cstheme="minorHAnsi"/>
          <w:sz w:val="22"/>
          <w:szCs w:val="22"/>
        </w:rPr>
        <w:t>202</w:t>
      </w:r>
      <w:r w:rsidR="00393CA1">
        <w:rPr>
          <w:rFonts w:cstheme="minorHAnsi"/>
          <w:sz w:val="22"/>
          <w:szCs w:val="22"/>
        </w:rPr>
        <w:t>4</w:t>
      </w:r>
      <w:r w:rsidRPr="00226A56">
        <w:rPr>
          <w:rFonts w:cstheme="minorHAnsi"/>
          <w:sz w:val="22"/>
          <w:szCs w:val="22"/>
        </w:rPr>
        <w:t>. godin</w:t>
      </w:r>
      <w:r w:rsidR="00AF72B3">
        <w:rPr>
          <w:rFonts w:cstheme="minorHAnsi"/>
          <w:sz w:val="22"/>
          <w:szCs w:val="22"/>
        </w:rPr>
        <w:t>e</w:t>
      </w:r>
      <w:r w:rsidRPr="00226A56">
        <w:rPr>
          <w:rFonts w:cstheme="minorHAnsi"/>
          <w:sz w:val="22"/>
          <w:szCs w:val="22"/>
        </w:rPr>
        <w:t xml:space="preserve"> ostvaren </w:t>
      </w:r>
      <w:r w:rsidR="00393CA1">
        <w:rPr>
          <w:rFonts w:cstheme="minorHAnsi"/>
          <w:sz w:val="22"/>
          <w:szCs w:val="22"/>
        </w:rPr>
        <w:t>višak</w:t>
      </w:r>
      <w:r w:rsidRPr="00226A56">
        <w:rPr>
          <w:rFonts w:cstheme="minorHAnsi"/>
          <w:sz w:val="22"/>
          <w:szCs w:val="22"/>
        </w:rPr>
        <w:t xml:space="preserve"> prihoda</w:t>
      </w:r>
      <w:r w:rsidR="00AF72B3">
        <w:rPr>
          <w:rFonts w:cstheme="minorHAnsi"/>
          <w:sz w:val="22"/>
          <w:szCs w:val="22"/>
        </w:rPr>
        <w:t xml:space="preserve"> i primitaka</w:t>
      </w:r>
      <w:r w:rsidRPr="00226A56">
        <w:rPr>
          <w:rFonts w:cstheme="minorHAnsi"/>
          <w:sz w:val="22"/>
          <w:szCs w:val="22"/>
        </w:rPr>
        <w:t xml:space="preserve"> u iznosu </w:t>
      </w:r>
      <w:r w:rsidR="00393CA1" w:rsidRPr="00393CA1">
        <w:rPr>
          <w:rFonts w:cstheme="minorHAnsi"/>
          <w:sz w:val="22"/>
          <w:szCs w:val="22"/>
        </w:rPr>
        <w:t>11.953,79</w:t>
      </w:r>
      <w:r w:rsidR="00AF72B3">
        <w:rPr>
          <w:rFonts w:cstheme="minorHAnsi"/>
          <w:sz w:val="22"/>
          <w:szCs w:val="22"/>
        </w:rPr>
        <w:t xml:space="preserve"> eura</w:t>
      </w:r>
      <w:r w:rsidRPr="00226A56">
        <w:rPr>
          <w:rFonts w:cstheme="minorHAnsi"/>
          <w:sz w:val="22"/>
          <w:szCs w:val="22"/>
        </w:rPr>
        <w:t xml:space="preserve">, </w:t>
      </w:r>
      <w:r w:rsidR="00C16F83">
        <w:rPr>
          <w:rFonts w:cstheme="minorHAnsi"/>
          <w:sz w:val="22"/>
          <w:szCs w:val="22"/>
        </w:rPr>
        <w:t xml:space="preserve">a s obzirom da je prethodne godine ostvaren višak u iznosu </w:t>
      </w:r>
      <w:r w:rsidRPr="00226A56">
        <w:rPr>
          <w:rFonts w:cstheme="minorHAnsi"/>
          <w:sz w:val="22"/>
          <w:szCs w:val="22"/>
        </w:rPr>
        <w:t>od</w:t>
      </w:r>
      <w:r w:rsidR="00393CA1">
        <w:rPr>
          <w:rFonts w:cstheme="minorHAnsi"/>
          <w:sz w:val="22"/>
          <w:szCs w:val="22"/>
        </w:rPr>
        <w:t xml:space="preserve"> </w:t>
      </w:r>
      <w:r w:rsidR="00393CA1" w:rsidRPr="00393CA1">
        <w:rPr>
          <w:rFonts w:cstheme="minorHAnsi"/>
          <w:sz w:val="22"/>
          <w:szCs w:val="22"/>
        </w:rPr>
        <w:t>52.071,65</w:t>
      </w:r>
      <w:r w:rsidR="00C16F83">
        <w:rPr>
          <w:rFonts w:cstheme="minorHAnsi"/>
          <w:sz w:val="22"/>
          <w:szCs w:val="22"/>
        </w:rPr>
        <w:t xml:space="preserve"> eura</w:t>
      </w:r>
      <w:r w:rsidRPr="00226A56">
        <w:rPr>
          <w:rFonts w:cstheme="minorHAnsi"/>
          <w:sz w:val="22"/>
          <w:szCs w:val="22"/>
        </w:rPr>
        <w:t xml:space="preserve">, </w:t>
      </w:r>
      <w:r w:rsidR="00393CA1">
        <w:rPr>
          <w:rFonts w:cstheme="minorHAnsi"/>
          <w:sz w:val="22"/>
          <w:szCs w:val="22"/>
        </w:rPr>
        <w:t>sveukupni višak</w:t>
      </w:r>
      <w:r w:rsidR="00C16F83">
        <w:rPr>
          <w:rFonts w:cstheme="minorHAnsi"/>
          <w:sz w:val="22"/>
          <w:szCs w:val="22"/>
        </w:rPr>
        <w:t xml:space="preserve"> iznosi </w:t>
      </w:r>
      <w:r w:rsidR="00393CA1" w:rsidRPr="00393CA1">
        <w:rPr>
          <w:rFonts w:cstheme="minorHAnsi"/>
          <w:sz w:val="22"/>
          <w:szCs w:val="22"/>
        </w:rPr>
        <w:t>64.025,44</w:t>
      </w:r>
      <w:r w:rsidR="00C16F83">
        <w:rPr>
          <w:rFonts w:cstheme="minorHAnsi"/>
          <w:sz w:val="22"/>
          <w:szCs w:val="22"/>
        </w:rPr>
        <w:t xml:space="preserve"> eura</w:t>
      </w:r>
      <w:r w:rsidRPr="00226A56">
        <w:rPr>
          <w:rFonts w:cstheme="minorHAnsi"/>
          <w:sz w:val="22"/>
          <w:szCs w:val="22"/>
        </w:rPr>
        <w:t>.</w:t>
      </w:r>
    </w:p>
    <w:p w14:paraId="41AE7C91" w14:textId="5F46B841" w:rsidR="00A64127" w:rsidRDefault="00A64127" w:rsidP="002531E7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A64127">
        <w:rPr>
          <w:rFonts w:cstheme="minorHAnsi"/>
          <w:sz w:val="22"/>
          <w:szCs w:val="22"/>
        </w:rPr>
        <w:lastRenderedPageBreak/>
        <w:t xml:space="preserve">Na ostvarenje </w:t>
      </w:r>
      <w:r w:rsidR="00393CA1">
        <w:rPr>
          <w:rFonts w:cstheme="minorHAnsi"/>
          <w:sz w:val="22"/>
          <w:szCs w:val="22"/>
        </w:rPr>
        <w:t>viška</w:t>
      </w:r>
      <w:r w:rsidRPr="00A64127">
        <w:rPr>
          <w:rFonts w:cstheme="minorHAnsi"/>
          <w:sz w:val="22"/>
          <w:szCs w:val="22"/>
        </w:rPr>
        <w:t xml:space="preserve"> u </w:t>
      </w:r>
      <w:r w:rsidR="00ED4161">
        <w:rPr>
          <w:rFonts w:cstheme="minorHAnsi"/>
          <w:sz w:val="22"/>
          <w:szCs w:val="22"/>
        </w:rPr>
        <w:t xml:space="preserve">prvoj polovici </w:t>
      </w:r>
      <w:r w:rsidRPr="00A64127">
        <w:rPr>
          <w:rFonts w:cstheme="minorHAnsi"/>
          <w:sz w:val="22"/>
          <w:szCs w:val="22"/>
        </w:rPr>
        <w:t>202</w:t>
      </w:r>
      <w:r w:rsidR="00393CA1">
        <w:rPr>
          <w:rFonts w:cstheme="minorHAnsi"/>
          <w:sz w:val="22"/>
          <w:szCs w:val="22"/>
        </w:rPr>
        <w:t>4</w:t>
      </w:r>
      <w:r w:rsidRPr="00A64127">
        <w:rPr>
          <w:rFonts w:cstheme="minorHAnsi"/>
          <w:sz w:val="22"/>
          <w:szCs w:val="22"/>
        </w:rPr>
        <w:t>. godin</w:t>
      </w:r>
      <w:r w:rsidR="00ED4161">
        <w:rPr>
          <w:rFonts w:cstheme="minorHAnsi"/>
          <w:sz w:val="22"/>
          <w:szCs w:val="22"/>
        </w:rPr>
        <w:t>e</w:t>
      </w:r>
      <w:r w:rsidRPr="00A64127">
        <w:rPr>
          <w:rFonts w:cstheme="minorHAnsi"/>
          <w:sz w:val="22"/>
          <w:szCs w:val="22"/>
        </w:rPr>
        <w:t xml:space="preserve"> </w:t>
      </w:r>
      <w:r w:rsidR="00AB3432">
        <w:rPr>
          <w:rFonts w:cstheme="minorHAnsi"/>
          <w:sz w:val="22"/>
          <w:szCs w:val="22"/>
        </w:rPr>
        <w:t xml:space="preserve">najviše </w:t>
      </w:r>
      <w:r w:rsidR="00BB318A">
        <w:rPr>
          <w:rFonts w:cstheme="minorHAnsi"/>
          <w:sz w:val="22"/>
          <w:szCs w:val="22"/>
        </w:rPr>
        <w:t>su</w:t>
      </w:r>
      <w:r w:rsidR="00AB3432">
        <w:rPr>
          <w:rFonts w:cstheme="minorHAnsi"/>
          <w:sz w:val="22"/>
          <w:szCs w:val="22"/>
        </w:rPr>
        <w:t xml:space="preserve"> </w:t>
      </w:r>
      <w:r w:rsidRPr="00A64127">
        <w:rPr>
          <w:rFonts w:cstheme="minorHAnsi"/>
          <w:sz w:val="22"/>
          <w:szCs w:val="22"/>
        </w:rPr>
        <w:t>utjecal</w:t>
      </w:r>
      <w:r w:rsidR="00BB318A">
        <w:rPr>
          <w:rFonts w:cstheme="minorHAnsi"/>
          <w:sz w:val="22"/>
          <w:szCs w:val="22"/>
        </w:rPr>
        <w:t>a</w:t>
      </w:r>
      <w:r w:rsidR="00AB3432">
        <w:rPr>
          <w:rFonts w:cstheme="minorHAnsi"/>
          <w:sz w:val="22"/>
          <w:szCs w:val="22"/>
        </w:rPr>
        <w:t xml:space="preserve"> </w:t>
      </w:r>
      <w:r w:rsidR="00BB318A">
        <w:rPr>
          <w:rFonts w:cstheme="minorHAnsi"/>
          <w:sz w:val="22"/>
          <w:szCs w:val="22"/>
        </w:rPr>
        <w:t>neutrošena sredstva</w:t>
      </w:r>
      <w:r w:rsidR="00393CA1">
        <w:rPr>
          <w:rFonts w:cstheme="minorHAnsi"/>
          <w:sz w:val="22"/>
          <w:szCs w:val="22"/>
        </w:rPr>
        <w:t xml:space="preserve"> od primljenog predujma za </w:t>
      </w:r>
      <w:r w:rsidR="00BB318A">
        <w:rPr>
          <w:rFonts w:cstheme="minorHAnsi"/>
          <w:sz w:val="22"/>
          <w:szCs w:val="22"/>
        </w:rPr>
        <w:t xml:space="preserve">provedbu </w:t>
      </w:r>
      <w:r w:rsidR="00393CA1">
        <w:rPr>
          <w:rFonts w:cstheme="minorHAnsi"/>
          <w:sz w:val="22"/>
          <w:szCs w:val="22"/>
        </w:rPr>
        <w:t>projekt</w:t>
      </w:r>
      <w:r w:rsidR="00BB318A">
        <w:rPr>
          <w:rFonts w:cstheme="minorHAnsi"/>
          <w:sz w:val="22"/>
          <w:szCs w:val="22"/>
        </w:rPr>
        <w:t>a</w:t>
      </w:r>
      <w:r w:rsidR="00393CA1">
        <w:rPr>
          <w:rFonts w:cstheme="minorHAnsi"/>
          <w:sz w:val="22"/>
          <w:szCs w:val="22"/>
        </w:rPr>
        <w:t xml:space="preserve"> </w:t>
      </w:r>
      <w:r w:rsidR="00BB318A">
        <w:rPr>
          <w:rFonts w:cstheme="minorHAnsi"/>
          <w:sz w:val="22"/>
          <w:szCs w:val="22"/>
        </w:rPr>
        <w:t>„Zaželi IV – Srcem za njih 3“</w:t>
      </w:r>
      <w:r w:rsidR="002531E7">
        <w:rPr>
          <w:rFonts w:cstheme="minorHAnsi"/>
          <w:sz w:val="22"/>
          <w:szCs w:val="22"/>
        </w:rPr>
        <w:t>.</w:t>
      </w:r>
    </w:p>
    <w:p w14:paraId="038BCCD0" w14:textId="77777777" w:rsidR="00845957" w:rsidRPr="00000576" w:rsidRDefault="0084595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A7A801B" w14:textId="14EA6B46" w:rsidR="003E3931" w:rsidRPr="00F00684" w:rsidRDefault="003E3931" w:rsidP="00165728">
      <w:pPr>
        <w:pStyle w:val="Naslov2"/>
        <w:numPr>
          <w:ilvl w:val="1"/>
          <w:numId w:val="4"/>
        </w:numPr>
        <w:spacing w:before="0" w:after="120"/>
        <w:ind w:left="432"/>
        <w:rPr>
          <w:b/>
          <w:sz w:val="22"/>
        </w:rPr>
      </w:pPr>
      <w:bookmarkStart w:id="5" w:name="_Toc144891683"/>
      <w:r w:rsidRPr="00F00684">
        <w:rPr>
          <w:b/>
          <w:sz w:val="22"/>
        </w:rPr>
        <w:t>PRIHODI</w:t>
      </w:r>
      <w:r w:rsidR="002A5EEE" w:rsidRPr="00F00684">
        <w:rPr>
          <w:b/>
          <w:sz w:val="22"/>
        </w:rPr>
        <w:t xml:space="preserve"> I PRIMICI</w:t>
      </w:r>
      <w:bookmarkEnd w:id="5"/>
    </w:p>
    <w:p w14:paraId="305491A4" w14:textId="42A6585E" w:rsidR="00487652" w:rsidRDefault="0048765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Ukupni p</w:t>
      </w:r>
      <w:r w:rsidRPr="00487652">
        <w:rPr>
          <w:rFonts w:cstheme="minorHAnsi"/>
          <w:sz w:val="22"/>
          <w:szCs w:val="22"/>
        </w:rPr>
        <w:t xml:space="preserve">rihodi i primici Proračuna obuhvaćaju prihode poslovanja u iznosu od </w:t>
      </w:r>
      <w:r w:rsidR="000269E3" w:rsidRPr="000269E3">
        <w:rPr>
          <w:rFonts w:cstheme="minorHAnsi"/>
          <w:sz w:val="22"/>
          <w:szCs w:val="22"/>
        </w:rPr>
        <w:t>382.245,07</w:t>
      </w:r>
      <w:r w:rsidRPr="00487652">
        <w:rPr>
          <w:rFonts w:cstheme="minorHAnsi"/>
          <w:sz w:val="22"/>
          <w:szCs w:val="22"/>
        </w:rPr>
        <w:t xml:space="preserve"> </w:t>
      </w:r>
      <w:r w:rsidR="0062302F">
        <w:rPr>
          <w:rFonts w:cstheme="minorHAnsi"/>
          <w:sz w:val="22"/>
          <w:szCs w:val="22"/>
        </w:rPr>
        <w:t>eura</w:t>
      </w:r>
      <w:r w:rsidRPr="00487652">
        <w:rPr>
          <w:rFonts w:cstheme="minorHAnsi"/>
          <w:sz w:val="22"/>
          <w:szCs w:val="22"/>
        </w:rPr>
        <w:t xml:space="preserve">, prihode od prodaje nefinancijske imovine u iznosu od </w:t>
      </w:r>
      <w:r w:rsidR="000269E3" w:rsidRPr="000269E3">
        <w:rPr>
          <w:rFonts w:cstheme="minorHAnsi"/>
          <w:sz w:val="22"/>
          <w:szCs w:val="22"/>
        </w:rPr>
        <w:t>12.570,07</w:t>
      </w:r>
      <w:r w:rsidR="0062302F">
        <w:rPr>
          <w:rFonts w:cstheme="minorHAnsi"/>
          <w:sz w:val="22"/>
          <w:szCs w:val="22"/>
        </w:rPr>
        <w:t xml:space="preserve"> eura</w:t>
      </w:r>
      <w:r w:rsidRPr="00487652">
        <w:rPr>
          <w:rFonts w:cstheme="minorHAnsi"/>
          <w:sz w:val="22"/>
          <w:szCs w:val="22"/>
        </w:rPr>
        <w:t xml:space="preserve">, te primitke od financijske imovine i zaduživanja </w:t>
      </w:r>
      <w:r w:rsidR="000269E3">
        <w:rPr>
          <w:rFonts w:cstheme="minorHAnsi"/>
          <w:sz w:val="22"/>
          <w:szCs w:val="22"/>
        </w:rPr>
        <w:t xml:space="preserve">u iznosu od </w:t>
      </w:r>
      <w:r w:rsidR="000269E3" w:rsidRPr="000269E3">
        <w:rPr>
          <w:rFonts w:cstheme="minorHAnsi"/>
          <w:sz w:val="22"/>
          <w:szCs w:val="22"/>
        </w:rPr>
        <w:t>10.000,00</w:t>
      </w:r>
      <w:r w:rsidR="000269E3">
        <w:rPr>
          <w:rFonts w:cstheme="minorHAnsi"/>
          <w:sz w:val="22"/>
          <w:szCs w:val="22"/>
        </w:rPr>
        <w:t xml:space="preserve"> eura</w:t>
      </w:r>
      <w:r w:rsidRPr="00487652">
        <w:rPr>
          <w:rFonts w:cstheme="minorHAnsi"/>
          <w:sz w:val="22"/>
          <w:szCs w:val="22"/>
        </w:rPr>
        <w:t>.</w:t>
      </w:r>
    </w:p>
    <w:p w14:paraId="335B5D01" w14:textId="03C0A34B" w:rsidR="006A7047" w:rsidRDefault="006A7047" w:rsidP="006A7047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6A7047">
        <w:rPr>
          <w:rFonts w:cstheme="minorHAnsi"/>
          <w:sz w:val="22"/>
          <w:szCs w:val="22"/>
        </w:rPr>
        <w:t>U strukturi ostvarenih prihoda i</w:t>
      </w:r>
      <w:r>
        <w:rPr>
          <w:rFonts w:cstheme="minorHAnsi"/>
          <w:sz w:val="22"/>
          <w:szCs w:val="22"/>
        </w:rPr>
        <w:t xml:space="preserve"> </w:t>
      </w:r>
      <w:r w:rsidRPr="006A7047">
        <w:rPr>
          <w:rFonts w:cstheme="minorHAnsi"/>
          <w:sz w:val="22"/>
          <w:szCs w:val="22"/>
        </w:rPr>
        <w:t xml:space="preserve">primitaka najveći udjel od </w:t>
      </w:r>
      <w:r w:rsidR="000269E3">
        <w:rPr>
          <w:rFonts w:cstheme="minorHAnsi"/>
          <w:sz w:val="22"/>
          <w:szCs w:val="22"/>
        </w:rPr>
        <w:t>72,10</w:t>
      </w:r>
      <w:r w:rsidRPr="006A7047">
        <w:rPr>
          <w:rFonts w:cstheme="minorHAnsi"/>
          <w:sz w:val="22"/>
          <w:szCs w:val="22"/>
        </w:rPr>
        <w:t xml:space="preserve">% imaju </w:t>
      </w:r>
      <w:r w:rsidR="00DB2E03">
        <w:rPr>
          <w:rFonts w:cstheme="minorHAnsi"/>
          <w:sz w:val="22"/>
          <w:szCs w:val="22"/>
        </w:rPr>
        <w:t>p</w:t>
      </w:r>
      <w:r w:rsidR="00DB2E03" w:rsidRPr="00DB2E03">
        <w:rPr>
          <w:rFonts w:cstheme="minorHAnsi"/>
          <w:sz w:val="22"/>
          <w:szCs w:val="22"/>
        </w:rPr>
        <w:t>omoći iz inozemstva i od subjekata unutar općeg proračuna</w:t>
      </w:r>
      <w:r w:rsidRPr="006A7047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"/>
        <w:gridCol w:w="571"/>
        <w:gridCol w:w="3967"/>
        <w:gridCol w:w="1276"/>
        <w:gridCol w:w="1274"/>
        <w:gridCol w:w="1278"/>
        <w:gridCol w:w="851"/>
        <w:gridCol w:w="964"/>
      </w:tblGrid>
      <w:tr w:rsidR="00BB318A" w:rsidRPr="00BB318A" w14:paraId="1F4B10B2" w14:textId="77777777" w:rsidTr="000269E3">
        <w:trPr>
          <w:trHeight w:val="227"/>
        </w:trPr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9CE819" w14:textId="53934AA5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18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75CE67C" w14:textId="03991A91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202E609" w14:textId="77777777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43FA995" w14:textId="77777777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598975" w14:textId="77777777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AFAF631" w14:textId="77777777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C3817B" w14:textId="77777777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BB318A" w:rsidRPr="00BB318A" w14:paraId="54ADC1C5" w14:textId="77777777" w:rsidTr="000269E3">
        <w:trPr>
          <w:trHeight w:val="227"/>
        </w:trPr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6BE2EE8" w14:textId="79CE546E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F0BF37B" w14:textId="5580BC21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8888ED9" w14:textId="77777777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9DCFA84" w14:textId="77777777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D837211" w14:textId="77777777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6BBE764" w14:textId="77777777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A8D2D9" w14:textId="77777777" w:rsidR="00BB318A" w:rsidRPr="00BB318A" w:rsidRDefault="00BB318A" w:rsidP="00BB3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0269E3" w:rsidRPr="00BB318A" w14:paraId="0EEFAEDF" w14:textId="77777777" w:rsidTr="000269E3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28EF94D5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</w:p>
        </w:tc>
        <w:tc>
          <w:tcPr>
            <w:tcW w:w="217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0A2D894C" w14:textId="43BEBF1B" w:rsidR="000269E3" w:rsidRPr="00BB318A" w:rsidRDefault="000269E3" w:rsidP="00BB31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POSLOVANJA</w:t>
            </w:r>
          </w:p>
        </w:tc>
        <w:tc>
          <w:tcPr>
            <w:tcW w:w="61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0FF8DAE4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303.698,12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58F20BBB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1.903.100,00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58B8F9E5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382.245,07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4B57B4C9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125,86%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F60C0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20,09%</w:t>
            </w:r>
          </w:p>
        </w:tc>
      </w:tr>
      <w:tr w:rsidR="000269E3" w:rsidRPr="00BB318A" w14:paraId="1C30988F" w14:textId="77777777" w:rsidTr="000269E3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C146413" w14:textId="50882E8E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1B1F2C6E" w14:textId="15AC3413" w:rsidR="00BB318A" w:rsidRPr="000269E3" w:rsidRDefault="00BB318A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61</w:t>
            </w:r>
          </w:p>
        </w:tc>
        <w:tc>
          <w:tcPr>
            <w:tcW w:w="189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54FF62E" w14:textId="460DD131" w:rsidR="00BB318A" w:rsidRPr="00BB318A" w:rsidRDefault="00BB318A" w:rsidP="00BB318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Prihodi od poreza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77A43546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44.597,54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719CB437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115.500,00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3BA9080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40.101,92</w:t>
            </w: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47465557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89,92%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4D873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34,72%</w:t>
            </w:r>
          </w:p>
        </w:tc>
      </w:tr>
      <w:tr w:rsidR="000269E3" w:rsidRPr="00BB318A" w14:paraId="34AAB791" w14:textId="77777777" w:rsidTr="000269E3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F596544" w14:textId="136EE909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6DDACB85" w14:textId="0A5671E1" w:rsidR="00BB318A" w:rsidRPr="000269E3" w:rsidRDefault="00BB318A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63</w:t>
            </w:r>
          </w:p>
        </w:tc>
        <w:tc>
          <w:tcPr>
            <w:tcW w:w="189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738EA7D5" w14:textId="15F83375" w:rsidR="00BB318A" w:rsidRPr="00BB318A" w:rsidRDefault="00BB318A" w:rsidP="00BB318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Pomoći iz inozemstva i od subjekata unutar općeg proračuna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42C9972E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179.266,17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4AB9A2D7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1.630.000,00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4EA8F7DC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291.871,93</w:t>
            </w: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43398006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162,81%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13C80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17,91%</w:t>
            </w:r>
          </w:p>
        </w:tc>
      </w:tr>
      <w:tr w:rsidR="000269E3" w:rsidRPr="00BB318A" w14:paraId="03D654FB" w14:textId="77777777" w:rsidTr="000269E3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45110F1" w14:textId="20EEC3E1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142B1A7D" w14:textId="315B8853" w:rsidR="00BB318A" w:rsidRPr="000269E3" w:rsidRDefault="00BB318A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64</w:t>
            </w:r>
          </w:p>
        </w:tc>
        <w:tc>
          <w:tcPr>
            <w:tcW w:w="189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503AA2C" w14:textId="7DBE9A1C" w:rsidR="00BB318A" w:rsidRPr="00BB318A" w:rsidRDefault="00BB318A" w:rsidP="00BB318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Prihodi od imovine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78A40B6F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9.015,94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48579D08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25.900,00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6430118C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12.016,84</w:t>
            </w: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31E194E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133,28%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D78F6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46,40%</w:t>
            </w:r>
          </w:p>
        </w:tc>
      </w:tr>
      <w:tr w:rsidR="000269E3" w:rsidRPr="00BB318A" w14:paraId="614BD514" w14:textId="77777777" w:rsidTr="000269E3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086CBF8" w14:textId="02DD5EC4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2CE3428E" w14:textId="1F89ABD9" w:rsidR="00BB318A" w:rsidRPr="000269E3" w:rsidRDefault="00BB318A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65</w:t>
            </w:r>
          </w:p>
        </w:tc>
        <w:tc>
          <w:tcPr>
            <w:tcW w:w="189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E4BB811" w14:textId="54A3D9B1" w:rsidR="00BB318A" w:rsidRPr="00BB318A" w:rsidRDefault="00BB318A" w:rsidP="00BB318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19E14F40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70.818,47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73AA1361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128.200,00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EB654DE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38.254,38</w:t>
            </w: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13E2A064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54,02%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FEAB3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29,84%</w:t>
            </w:r>
          </w:p>
        </w:tc>
      </w:tr>
      <w:tr w:rsidR="000269E3" w:rsidRPr="00BB318A" w14:paraId="7B7E957E" w14:textId="77777777" w:rsidTr="000269E3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53A4A71" w14:textId="01893862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478CE491" w14:textId="7F92798C" w:rsidR="00BB318A" w:rsidRPr="000269E3" w:rsidRDefault="00BB318A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68</w:t>
            </w:r>
          </w:p>
        </w:tc>
        <w:tc>
          <w:tcPr>
            <w:tcW w:w="189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1846934A" w14:textId="257D009A" w:rsidR="00BB318A" w:rsidRPr="00BB318A" w:rsidRDefault="00BB318A" w:rsidP="00BB318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668D473C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4F2C254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3.500,00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0160230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675E8D9A" w14:textId="77777777" w:rsidR="00BB318A" w:rsidRPr="00BB318A" w:rsidRDefault="00BB318A" w:rsidP="00BB318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B468E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0,00%</w:t>
            </w:r>
          </w:p>
        </w:tc>
      </w:tr>
      <w:tr w:rsidR="000269E3" w:rsidRPr="00BB318A" w14:paraId="2551B5F5" w14:textId="77777777" w:rsidTr="000269E3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4239EFCB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2170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43B123AD" w14:textId="330C27D5" w:rsidR="000269E3" w:rsidRPr="00BB318A" w:rsidRDefault="000269E3" w:rsidP="00BB31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7DB27105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3.861,81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41A6D077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818.400,00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3798449D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12.570,07</w:t>
            </w: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678D1DA4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325,50%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6F7EB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1,54%</w:t>
            </w:r>
          </w:p>
        </w:tc>
      </w:tr>
      <w:tr w:rsidR="000269E3" w:rsidRPr="00BB318A" w14:paraId="2F23A955" w14:textId="77777777" w:rsidTr="000269E3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ABE4BB3" w14:textId="489A0E5C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0466EB6A" w14:textId="23148928" w:rsidR="00BB318A" w:rsidRPr="000269E3" w:rsidRDefault="00BB318A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71</w:t>
            </w:r>
          </w:p>
        </w:tc>
        <w:tc>
          <w:tcPr>
            <w:tcW w:w="189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16AE7C0" w14:textId="28B35F97" w:rsidR="00BB318A" w:rsidRPr="00BB318A" w:rsidRDefault="00BB318A" w:rsidP="00BB318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Prihodi od prodaje </w:t>
            </w:r>
            <w:proofErr w:type="spellStart"/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neproizvedene</w:t>
            </w:r>
            <w:proofErr w:type="spellEnd"/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7D495C6E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3.861,81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26BE433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58.400,00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01E1754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2.435,07</w:t>
            </w: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1D7197BC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63,06%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6C3D6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4,17%</w:t>
            </w:r>
          </w:p>
        </w:tc>
      </w:tr>
      <w:tr w:rsidR="000269E3" w:rsidRPr="00BB318A" w14:paraId="5E385A43" w14:textId="77777777" w:rsidTr="000269E3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623EB63" w14:textId="5925B85C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7AAF3A4E" w14:textId="65DE8DEF" w:rsidR="00BB318A" w:rsidRPr="000269E3" w:rsidRDefault="00BB318A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72</w:t>
            </w:r>
          </w:p>
        </w:tc>
        <w:tc>
          <w:tcPr>
            <w:tcW w:w="189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B09EFB6" w14:textId="7B6206E3" w:rsidR="00BB318A" w:rsidRPr="00BB318A" w:rsidRDefault="00BB318A" w:rsidP="00BB318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Prihodi od prodaje proizvedene dugotrajne imovine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373DDC2E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B3499FD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760.000,00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C04717B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10.135,00</w:t>
            </w: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18224BF" w14:textId="77777777" w:rsidR="00BB318A" w:rsidRPr="00BB318A" w:rsidRDefault="00BB318A" w:rsidP="00BB318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87B8C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1,33%</w:t>
            </w:r>
          </w:p>
        </w:tc>
      </w:tr>
      <w:tr w:rsidR="000269E3" w:rsidRPr="00BB318A" w14:paraId="344339E0" w14:textId="77777777" w:rsidTr="000269E3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32EBA338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2170" w:type="pct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14E15DE2" w14:textId="3D648422" w:rsidR="000269E3" w:rsidRPr="00BB318A" w:rsidRDefault="000269E3" w:rsidP="00BB31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4DB65F8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FE39DC8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81.500,00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2A28CE76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7A853F4F" w14:textId="77777777" w:rsidR="000269E3" w:rsidRPr="00BB318A" w:rsidRDefault="000269E3" w:rsidP="00BB31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AAD9D" w14:textId="77777777" w:rsidR="000269E3" w:rsidRPr="00BB318A" w:rsidRDefault="000269E3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12,27%</w:t>
            </w:r>
          </w:p>
        </w:tc>
      </w:tr>
      <w:tr w:rsidR="000269E3" w:rsidRPr="00BB318A" w14:paraId="44072A4D" w14:textId="77777777" w:rsidTr="000269E3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14:paraId="1210180D" w14:textId="66E676F6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73" w:type="pct"/>
            <w:tcBorders>
              <w:top w:val="nil"/>
              <w:bottom w:val="single" w:sz="4" w:space="0" w:color="auto"/>
            </w:tcBorders>
            <w:shd w:val="clear" w:color="000000" w:fill="FFFFFF"/>
          </w:tcPr>
          <w:p w14:paraId="0F48030A" w14:textId="326EAEAF" w:rsidR="00BB318A" w:rsidRPr="000269E3" w:rsidRDefault="00BB318A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84</w:t>
            </w:r>
          </w:p>
        </w:tc>
        <w:tc>
          <w:tcPr>
            <w:tcW w:w="189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E775DC1" w14:textId="20D10F63" w:rsidR="00BB318A" w:rsidRPr="00BB318A" w:rsidRDefault="00BB318A" w:rsidP="00BB318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Primici od zaduživanja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14545CFA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037FAE94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81.500,00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54590961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14:paraId="76C9AF1E" w14:textId="77777777" w:rsidR="00BB318A" w:rsidRPr="00BB318A" w:rsidRDefault="00BB318A" w:rsidP="00BB318A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00CC8" w14:textId="77777777" w:rsidR="00BB318A" w:rsidRPr="00BB318A" w:rsidRDefault="00BB318A" w:rsidP="00BB3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12,27%</w:t>
            </w:r>
          </w:p>
        </w:tc>
      </w:tr>
      <w:tr w:rsidR="000269E3" w:rsidRPr="00BB318A" w14:paraId="50F25B21" w14:textId="77777777" w:rsidTr="000269E3">
        <w:trPr>
          <w:trHeight w:val="227"/>
        </w:trPr>
        <w:tc>
          <w:tcPr>
            <w:tcW w:w="2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1EE970D" w14:textId="58A94157" w:rsidR="000269E3" w:rsidRPr="00BB318A" w:rsidRDefault="000269E3" w:rsidP="00BB318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( 6 + 7 + 8 )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auto" w:fill="E7E6E6" w:themeFill="background2"/>
            <w:hideMark/>
          </w:tcPr>
          <w:p w14:paraId="1925A7B7" w14:textId="77777777" w:rsidR="000269E3" w:rsidRPr="00BB318A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307.559,93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  <w:shd w:val="clear" w:color="auto" w:fill="E7E6E6" w:themeFill="background2"/>
            <w:hideMark/>
          </w:tcPr>
          <w:p w14:paraId="549FD0BA" w14:textId="77777777" w:rsidR="000269E3" w:rsidRPr="00BB318A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2.803.000,00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auto" w:fill="E7E6E6" w:themeFill="background2"/>
            <w:hideMark/>
          </w:tcPr>
          <w:p w14:paraId="121740B9" w14:textId="77777777" w:rsidR="000269E3" w:rsidRPr="00BB318A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404.815,14</w:t>
            </w: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auto" w:fill="E7E6E6" w:themeFill="background2"/>
            <w:hideMark/>
          </w:tcPr>
          <w:p w14:paraId="211AA1D2" w14:textId="77777777" w:rsidR="000269E3" w:rsidRPr="00BB318A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131,62%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BEBA00" w14:textId="77777777" w:rsidR="000269E3" w:rsidRPr="00BB318A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B318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14,44%</w:t>
            </w:r>
          </w:p>
        </w:tc>
      </w:tr>
    </w:tbl>
    <w:p w14:paraId="00E19A1A" w14:textId="13389CEA" w:rsidR="00A636A7" w:rsidRDefault="006A7047" w:rsidP="00E671D0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6A7047">
        <w:rPr>
          <w:rFonts w:cstheme="minorHAnsi"/>
          <w:sz w:val="22"/>
          <w:szCs w:val="22"/>
        </w:rPr>
        <w:t xml:space="preserve">U odnosu na </w:t>
      </w:r>
      <w:r w:rsidR="00DB2E03">
        <w:rPr>
          <w:rFonts w:cstheme="minorHAnsi"/>
          <w:sz w:val="22"/>
          <w:szCs w:val="22"/>
        </w:rPr>
        <w:t xml:space="preserve">isto razdoblje </w:t>
      </w:r>
      <w:r w:rsidRPr="006A7047">
        <w:rPr>
          <w:rFonts w:cstheme="minorHAnsi"/>
          <w:sz w:val="22"/>
          <w:szCs w:val="22"/>
        </w:rPr>
        <w:t>prethodn</w:t>
      </w:r>
      <w:r w:rsidR="00DB2E03">
        <w:rPr>
          <w:rFonts w:cstheme="minorHAnsi"/>
          <w:sz w:val="22"/>
          <w:szCs w:val="22"/>
        </w:rPr>
        <w:t>e</w:t>
      </w:r>
      <w:r w:rsidRPr="006A7047">
        <w:rPr>
          <w:rFonts w:cstheme="minorHAnsi"/>
          <w:sz w:val="22"/>
          <w:szCs w:val="22"/>
        </w:rPr>
        <w:t xml:space="preserve"> godin</w:t>
      </w:r>
      <w:r w:rsidR="00DB2E03">
        <w:rPr>
          <w:rFonts w:cstheme="minorHAnsi"/>
          <w:sz w:val="22"/>
          <w:szCs w:val="22"/>
        </w:rPr>
        <w:t>e</w:t>
      </w:r>
      <w:r w:rsidRPr="006A7047">
        <w:rPr>
          <w:rFonts w:cstheme="minorHAnsi"/>
          <w:sz w:val="22"/>
          <w:szCs w:val="22"/>
        </w:rPr>
        <w:t xml:space="preserve">, ostvareni prihodi i primici su </w:t>
      </w:r>
      <w:r w:rsidR="000269E3">
        <w:rPr>
          <w:rFonts w:cstheme="minorHAnsi"/>
          <w:sz w:val="22"/>
          <w:szCs w:val="22"/>
        </w:rPr>
        <w:t>veći</w:t>
      </w:r>
      <w:r w:rsidRPr="006A7047">
        <w:rPr>
          <w:rFonts w:cstheme="minorHAnsi"/>
          <w:sz w:val="22"/>
          <w:szCs w:val="22"/>
        </w:rPr>
        <w:t xml:space="preserve"> za </w:t>
      </w:r>
      <w:r w:rsidR="000269E3" w:rsidRPr="000269E3">
        <w:rPr>
          <w:rFonts w:cstheme="minorHAnsi"/>
          <w:sz w:val="22"/>
          <w:szCs w:val="22"/>
        </w:rPr>
        <w:t>97.255,21</w:t>
      </w:r>
      <w:r w:rsidR="00DB2E03">
        <w:rPr>
          <w:rFonts w:cstheme="minorHAnsi"/>
          <w:sz w:val="22"/>
          <w:szCs w:val="22"/>
        </w:rPr>
        <w:t xml:space="preserve"> eura</w:t>
      </w:r>
      <w:r w:rsidR="00E671D0">
        <w:rPr>
          <w:rFonts w:cstheme="minorHAnsi"/>
          <w:sz w:val="22"/>
          <w:szCs w:val="22"/>
        </w:rPr>
        <w:t xml:space="preserve"> </w:t>
      </w:r>
      <w:r w:rsidRPr="006A7047">
        <w:rPr>
          <w:rFonts w:cstheme="minorHAnsi"/>
          <w:sz w:val="22"/>
          <w:szCs w:val="22"/>
        </w:rPr>
        <w:t xml:space="preserve">ili za </w:t>
      </w:r>
      <w:r w:rsidR="000269E3">
        <w:rPr>
          <w:rFonts w:cstheme="minorHAnsi"/>
          <w:sz w:val="22"/>
          <w:szCs w:val="22"/>
        </w:rPr>
        <w:t>31,62</w:t>
      </w:r>
      <w:r w:rsidR="00DB2E03">
        <w:rPr>
          <w:rFonts w:cstheme="minorHAnsi"/>
          <w:sz w:val="22"/>
          <w:szCs w:val="22"/>
        </w:rPr>
        <w:t xml:space="preserve">%. </w:t>
      </w:r>
      <w:r w:rsidR="000269E3">
        <w:rPr>
          <w:rFonts w:cstheme="minorHAnsi"/>
          <w:sz w:val="22"/>
          <w:szCs w:val="22"/>
        </w:rPr>
        <w:t>Prihodi od pomoći iz inozemstva i od subjekata unutar općeg proračuna, te prihodi od imovine</w:t>
      </w:r>
      <w:r w:rsidR="00DB2E03">
        <w:rPr>
          <w:rFonts w:cstheme="minorHAnsi"/>
          <w:sz w:val="22"/>
          <w:szCs w:val="22"/>
        </w:rPr>
        <w:t xml:space="preserve"> bilježe rast, dok </w:t>
      </w:r>
      <w:r w:rsidR="00FD6AC6">
        <w:rPr>
          <w:rFonts w:cstheme="minorHAnsi"/>
          <w:sz w:val="22"/>
          <w:szCs w:val="22"/>
        </w:rPr>
        <w:t xml:space="preserve">su </w:t>
      </w:r>
      <w:r w:rsidR="00DB2E03">
        <w:rPr>
          <w:rFonts w:cstheme="minorHAnsi"/>
          <w:sz w:val="22"/>
          <w:szCs w:val="22"/>
        </w:rPr>
        <w:t>svi ostali prihodi</w:t>
      </w:r>
      <w:r w:rsidR="00FD6AC6">
        <w:rPr>
          <w:rFonts w:cstheme="minorHAnsi"/>
          <w:sz w:val="22"/>
          <w:szCs w:val="22"/>
        </w:rPr>
        <w:t xml:space="preserve"> ostvareni u manjem iznosu u odnosu na isto razdoblje prethodne godine. </w:t>
      </w:r>
    </w:p>
    <w:p w14:paraId="7E1130A6" w14:textId="77777777" w:rsidR="00FA7A1D" w:rsidRPr="00000576" w:rsidRDefault="00FA7A1D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7484548D" w14:textId="7C37ABF9" w:rsidR="00D13E13" w:rsidRPr="00F00684" w:rsidRDefault="00F00684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6" w:name="_Toc144891684"/>
      <w:r w:rsidRPr="00F00684">
        <w:rPr>
          <w:b/>
          <w:caps w:val="0"/>
          <w:sz w:val="22"/>
        </w:rPr>
        <w:t>Prihodi od poreza</w:t>
      </w:r>
      <w:bookmarkEnd w:id="6"/>
    </w:p>
    <w:p w14:paraId="13AC95FE" w14:textId="0AFD32D3" w:rsidR="00F92018" w:rsidRPr="000F0E7D" w:rsidRDefault="003E3931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F0E7D">
        <w:rPr>
          <w:rFonts w:cstheme="minorHAnsi"/>
          <w:sz w:val="22"/>
          <w:szCs w:val="22"/>
        </w:rPr>
        <w:t xml:space="preserve">Prihodi od poreza realizirani su u iznosu od </w:t>
      </w:r>
      <w:r w:rsidR="00247220" w:rsidRPr="00247220">
        <w:rPr>
          <w:rFonts w:cstheme="minorHAnsi"/>
          <w:sz w:val="22"/>
          <w:szCs w:val="22"/>
        </w:rPr>
        <w:t>40.101,92</w:t>
      </w:r>
      <w:r w:rsidR="000F0E7D">
        <w:rPr>
          <w:rFonts w:cstheme="minorHAnsi"/>
          <w:sz w:val="22"/>
          <w:szCs w:val="22"/>
        </w:rPr>
        <w:t xml:space="preserve"> eura</w:t>
      </w:r>
      <w:r w:rsidRPr="000F0E7D">
        <w:rPr>
          <w:rFonts w:cstheme="minorHAnsi"/>
          <w:sz w:val="22"/>
          <w:szCs w:val="22"/>
        </w:rPr>
        <w:t xml:space="preserve">, </w:t>
      </w:r>
      <w:r w:rsidR="00D13E13" w:rsidRPr="000F0E7D">
        <w:rPr>
          <w:rFonts w:cstheme="minorHAnsi"/>
          <w:sz w:val="22"/>
          <w:szCs w:val="22"/>
        </w:rPr>
        <w:t xml:space="preserve">dok su u </w:t>
      </w:r>
      <w:r w:rsidR="000F0E7D">
        <w:rPr>
          <w:rFonts w:cstheme="minorHAnsi"/>
          <w:sz w:val="22"/>
          <w:szCs w:val="22"/>
        </w:rPr>
        <w:t xml:space="preserve">istom razdoblju </w:t>
      </w:r>
      <w:r w:rsidR="00D13E13" w:rsidRPr="000F0E7D">
        <w:rPr>
          <w:rFonts w:cstheme="minorHAnsi"/>
          <w:sz w:val="22"/>
          <w:szCs w:val="22"/>
        </w:rPr>
        <w:t>20</w:t>
      </w:r>
      <w:r w:rsidR="00AE4296" w:rsidRPr="000F0E7D">
        <w:rPr>
          <w:rFonts w:cstheme="minorHAnsi"/>
          <w:sz w:val="22"/>
          <w:szCs w:val="22"/>
        </w:rPr>
        <w:t>2</w:t>
      </w:r>
      <w:r w:rsidR="00247220">
        <w:rPr>
          <w:rFonts w:cstheme="minorHAnsi"/>
          <w:sz w:val="22"/>
          <w:szCs w:val="22"/>
        </w:rPr>
        <w:t>3</w:t>
      </w:r>
      <w:r w:rsidR="00D13E13" w:rsidRPr="000F0E7D">
        <w:rPr>
          <w:rFonts w:cstheme="minorHAnsi"/>
          <w:sz w:val="22"/>
          <w:szCs w:val="22"/>
        </w:rPr>
        <w:t>. godin</w:t>
      </w:r>
      <w:r w:rsidR="000F0E7D">
        <w:rPr>
          <w:rFonts w:cstheme="minorHAnsi"/>
          <w:sz w:val="22"/>
          <w:szCs w:val="22"/>
        </w:rPr>
        <w:t>e</w:t>
      </w:r>
      <w:r w:rsidR="00D13E13" w:rsidRPr="000F0E7D">
        <w:rPr>
          <w:rFonts w:cstheme="minorHAnsi"/>
          <w:sz w:val="22"/>
          <w:szCs w:val="22"/>
        </w:rPr>
        <w:t xml:space="preserve"> iznosili </w:t>
      </w:r>
      <w:r w:rsidR="00247220" w:rsidRPr="00247220">
        <w:rPr>
          <w:rFonts w:cstheme="minorHAnsi"/>
          <w:sz w:val="22"/>
          <w:szCs w:val="22"/>
        </w:rPr>
        <w:t>44.597,54</w:t>
      </w:r>
      <w:r w:rsidR="000F0E7D">
        <w:rPr>
          <w:rFonts w:cstheme="minorHAnsi"/>
          <w:sz w:val="22"/>
          <w:szCs w:val="22"/>
        </w:rPr>
        <w:t xml:space="preserve"> eura</w:t>
      </w:r>
      <w:r w:rsidR="00D13E13" w:rsidRPr="000F0E7D">
        <w:rPr>
          <w:rFonts w:cstheme="minorHAnsi"/>
          <w:sz w:val="22"/>
          <w:szCs w:val="22"/>
        </w:rPr>
        <w:t xml:space="preserve">, što predstavlja </w:t>
      </w:r>
      <w:r w:rsidR="00247220">
        <w:rPr>
          <w:rFonts w:cstheme="minorHAnsi"/>
          <w:sz w:val="22"/>
          <w:szCs w:val="22"/>
        </w:rPr>
        <w:t>smanjenje</w:t>
      </w:r>
      <w:r w:rsidR="00D13E13" w:rsidRPr="000F0E7D">
        <w:rPr>
          <w:rFonts w:cstheme="minorHAnsi"/>
          <w:sz w:val="22"/>
          <w:szCs w:val="22"/>
        </w:rPr>
        <w:t xml:space="preserve"> za </w:t>
      </w:r>
      <w:r w:rsidR="00247220">
        <w:rPr>
          <w:rFonts w:cstheme="minorHAnsi"/>
          <w:sz w:val="22"/>
          <w:szCs w:val="22"/>
        </w:rPr>
        <w:t>10,08</w:t>
      </w:r>
      <w:r w:rsidR="00D13E13" w:rsidRPr="000F0E7D">
        <w:rPr>
          <w:rFonts w:cstheme="minorHAnsi"/>
          <w:sz w:val="22"/>
          <w:szCs w:val="22"/>
        </w:rPr>
        <w:t xml:space="preserve">%. </w:t>
      </w:r>
    </w:p>
    <w:p w14:paraId="59D28C16" w14:textId="2A9E2773" w:rsidR="00327ABF" w:rsidRPr="000F0E7D" w:rsidRDefault="00327ABF" w:rsidP="00327ABF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F0E7D">
        <w:rPr>
          <w:rFonts w:cstheme="minorHAnsi"/>
          <w:sz w:val="22"/>
          <w:szCs w:val="22"/>
        </w:rPr>
        <w:t>U odnosu na Plan za 202</w:t>
      </w:r>
      <w:r w:rsidR="00247220">
        <w:rPr>
          <w:rFonts w:cstheme="minorHAnsi"/>
          <w:sz w:val="22"/>
          <w:szCs w:val="22"/>
        </w:rPr>
        <w:t>4</w:t>
      </w:r>
      <w:r w:rsidRPr="000F0E7D">
        <w:rPr>
          <w:rFonts w:cstheme="minorHAnsi"/>
          <w:sz w:val="22"/>
          <w:szCs w:val="22"/>
        </w:rPr>
        <w:t xml:space="preserve">. godinu, ostvareno je </w:t>
      </w:r>
      <w:r w:rsidR="00247220">
        <w:rPr>
          <w:rFonts w:cstheme="minorHAnsi"/>
          <w:sz w:val="22"/>
          <w:szCs w:val="22"/>
        </w:rPr>
        <w:t>34,72</w:t>
      </w:r>
      <w:r w:rsidRPr="000F0E7D">
        <w:rPr>
          <w:rFonts w:cstheme="minorHAnsi"/>
          <w:sz w:val="22"/>
          <w:szCs w:val="22"/>
        </w:rPr>
        <w:t>% planiranog prihoda od poreza.</w:t>
      </w:r>
    </w:p>
    <w:p w14:paraId="7A650B11" w14:textId="2C92C863" w:rsidR="00327ABF" w:rsidRDefault="00D42515" w:rsidP="00327ABF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Najveći utjecaj na m</w:t>
      </w:r>
      <w:r w:rsidR="00247220">
        <w:rPr>
          <w:rFonts w:cstheme="minorHAnsi"/>
          <w:sz w:val="22"/>
          <w:szCs w:val="22"/>
        </w:rPr>
        <w:t>anje</w:t>
      </w:r>
      <w:r w:rsidR="00327ABF" w:rsidRPr="000F0E7D">
        <w:rPr>
          <w:rFonts w:cstheme="minorHAnsi"/>
          <w:sz w:val="22"/>
          <w:szCs w:val="22"/>
        </w:rPr>
        <w:t xml:space="preserve"> ostvarenje poreznih prihoda u </w:t>
      </w:r>
      <w:r>
        <w:rPr>
          <w:rFonts w:cstheme="minorHAnsi"/>
          <w:sz w:val="22"/>
          <w:szCs w:val="22"/>
        </w:rPr>
        <w:t>promatranom razdoblju</w:t>
      </w:r>
      <w:r w:rsidR="00327ABF" w:rsidRPr="000F0E7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imala je</w:t>
      </w:r>
      <w:r w:rsidR="00247220">
        <w:rPr>
          <w:rFonts w:cstheme="minorHAnsi"/>
          <w:sz w:val="22"/>
          <w:szCs w:val="22"/>
        </w:rPr>
        <w:t xml:space="preserve"> drugačij</w:t>
      </w:r>
      <w:r>
        <w:rPr>
          <w:rFonts w:cstheme="minorHAnsi"/>
          <w:sz w:val="22"/>
          <w:szCs w:val="22"/>
        </w:rPr>
        <w:t>a</w:t>
      </w:r>
      <w:r w:rsidR="00247220">
        <w:rPr>
          <w:rFonts w:cstheme="minorHAnsi"/>
          <w:sz w:val="22"/>
          <w:szCs w:val="22"/>
        </w:rPr>
        <w:t xml:space="preserve"> dinamik</w:t>
      </w:r>
      <w:r>
        <w:rPr>
          <w:rFonts w:cstheme="minorHAnsi"/>
          <w:sz w:val="22"/>
          <w:szCs w:val="22"/>
        </w:rPr>
        <w:t>a</w:t>
      </w:r>
      <w:r w:rsidR="00247220">
        <w:rPr>
          <w:rFonts w:cstheme="minorHAnsi"/>
          <w:sz w:val="22"/>
          <w:szCs w:val="22"/>
        </w:rPr>
        <w:t xml:space="preserve"> povrata poreza na dohodak u odnosu na prethodne godine, </w:t>
      </w:r>
      <w:r w:rsidR="00E530A7">
        <w:rPr>
          <w:rFonts w:cstheme="minorHAnsi"/>
          <w:sz w:val="22"/>
          <w:szCs w:val="22"/>
        </w:rPr>
        <w:t>te smanjeno ostvarenje poreza na imovinu.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5"/>
        <w:gridCol w:w="4515"/>
        <w:gridCol w:w="1182"/>
        <w:gridCol w:w="1182"/>
        <w:gridCol w:w="1182"/>
        <w:gridCol w:w="834"/>
        <w:gridCol w:w="836"/>
      </w:tblGrid>
      <w:tr w:rsidR="00247220" w:rsidRPr="000269E3" w14:paraId="520B8764" w14:textId="77777777" w:rsidTr="007F5F23">
        <w:trPr>
          <w:trHeight w:val="22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42CD238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689A09C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8E35A95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5170522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F2CBEB2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29C883C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2329E9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247220" w:rsidRPr="000269E3" w14:paraId="01608D67" w14:textId="77777777" w:rsidTr="007F5F23">
        <w:trPr>
          <w:trHeight w:val="227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F55E690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D7AF6FB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161DEC4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2ABC80B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326025F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435CF14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560090" w14:textId="77777777" w:rsidR="000269E3" w:rsidRPr="000269E3" w:rsidRDefault="000269E3" w:rsidP="000269E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247220" w:rsidRPr="000269E3" w14:paraId="6A068450" w14:textId="77777777" w:rsidTr="007F5F23">
        <w:trPr>
          <w:trHeight w:val="227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1D49E9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A950E7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poreza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918A75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44.597,54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796A7E" w14:textId="6D650D89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115.500,00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F74241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40.101,92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B5B9B0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89,92%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17B5D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34,72%</w:t>
            </w:r>
          </w:p>
        </w:tc>
      </w:tr>
      <w:tr w:rsidR="00247220" w:rsidRPr="000269E3" w14:paraId="3A1FB50D" w14:textId="77777777" w:rsidTr="007F5F23">
        <w:trPr>
          <w:trHeight w:val="227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0ECFA0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611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3FE972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Porez i prirez na dohodak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EB765B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39.859,32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2866E3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FFE68A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36.608,26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3BE7F7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91,84%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ED289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47220" w:rsidRPr="000269E3" w14:paraId="766318DB" w14:textId="77777777" w:rsidTr="007F5F23">
        <w:trPr>
          <w:trHeight w:val="227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71810C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6111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709495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Porez i prirez na dohodak od nesamostalnog rada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00EF46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39.859,32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E80D6B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57BC87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36.608,26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E86E39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91,84%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938C1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47220" w:rsidRPr="000269E3" w14:paraId="76F6F0EE" w14:textId="77777777" w:rsidTr="007F5F23">
        <w:trPr>
          <w:trHeight w:val="227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BD741B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613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1C1509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Porezi na imovinu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5FE351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4.738,22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A08D97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64BAA9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3.493,66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59D950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73,73%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28576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47220" w:rsidRPr="000269E3" w14:paraId="74B9170F" w14:textId="77777777" w:rsidTr="007F5F23">
        <w:trPr>
          <w:trHeight w:val="227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85DE55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6131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AF5717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Stalni porezi na nepokretnu imovinu (zemlju, zgrade, kuće i ostalo)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AD0311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475,32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5B8ACE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E8BC67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314,44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90A4C5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66,15%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DDBE0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47220" w:rsidRPr="000269E3" w14:paraId="76CE243C" w14:textId="77777777" w:rsidTr="007F5F23">
        <w:trPr>
          <w:trHeight w:val="227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B68FDC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6134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B9DD0A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Povremeni porezi na imovinu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6194AF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4.262,90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91E56D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1B56FF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3.179,22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E54AA7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74,58%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DD697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47220" w:rsidRPr="000269E3" w14:paraId="69784DB7" w14:textId="77777777" w:rsidTr="007F5F23">
        <w:trPr>
          <w:trHeight w:val="227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5119A4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614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518E8F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Porezi na robu i usluge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D6BF97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80F42D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24208A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011ED4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89CE8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47220" w:rsidRPr="000269E3" w14:paraId="586DA037" w14:textId="77777777" w:rsidTr="007F5F23">
        <w:trPr>
          <w:trHeight w:val="227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4A52BA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6142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547CF8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Porez na promet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4AEFF1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E3ACB9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65E337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CA7CAF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E3F42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247220" w:rsidRPr="000269E3" w14:paraId="758FC8F0" w14:textId="77777777" w:rsidTr="007F5F23">
        <w:trPr>
          <w:trHeight w:val="227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A844A3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6145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5DCED8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Porezi na korištenje dobara ili izvođenje aktivnosti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D5260F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2200D7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870774" w14:textId="77777777" w:rsidR="000269E3" w:rsidRPr="000269E3" w:rsidRDefault="000269E3" w:rsidP="000269E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35D4B2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D6530" w14:textId="77777777" w:rsidR="000269E3" w:rsidRPr="000269E3" w:rsidRDefault="000269E3" w:rsidP="000269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269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4A34E136" w14:textId="766E71DA" w:rsidR="00900F08" w:rsidRDefault="000163DD" w:rsidP="000163DD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Porez</w:t>
      </w:r>
      <w:r w:rsidRPr="00BF4249">
        <w:rPr>
          <w:rFonts w:cstheme="minorHAnsi"/>
          <w:sz w:val="22"/>
          <w:szCs w:val="22"/>
        </w:rPr>
        <w:t xml:space="preserve"> na dohodak </w:t>
      </w:r>
      <w:r>
        <w:rPr>
          <w:rFonts w:cstheme="minorHAnsi"/>
          <w:sz w:val="22"/>
          <w:szCs w:val="22"/>
        </w:rPr>
        <w:t xml:space="preserve">je </w:t>
      </w:r>
      <w:r w:rsidRPr="00BF4249">
        <w:rPr>
          <w:rFonts w:cstheme="minorHAnsi"/>
          <w:sz w:val="22"/>
          <w:szCs w:val="22"/>
        </w:rPr>
        <w:t xml:space="preserve">najznačajniji prihod unutar poreznih prihoda, </w:t>
      </w:r>
      <w:r>
        <w:rPr>
          <w:rFonts w:cstheme="minorHAnsi"/>
          <w:sz w:val="22"/>
          <w:szCs w:val="22"/>
        </w:rPr>
        <w:t xml:space="preserve">te čini </w:t>
      </w:r>
      <w:r w:rsidR="00E530A7">
        <w:rPr>
          <w:rFonts w:cstheme="minorHAnsi"/>
          <w:sz w:val="22"/>
          <w:szCs w:val="22"/>
        </w:rPr>
        <w:t>91,28</w:t>
      </w:r>
      <w:r>
        <w:rPr>
          <w:rFonts w:cstheme="minorHAnsi"/>
          <w:sz w:val="22"/>
          <w:szCs w:val="22"/>
        </w:rPr>
        <w:t xml:space="preserve">% svih poreznih prihoda, </w:t>
      </w:r>
      <w:r w:rsidRPr="00BF4249">
        <w:rPr>
          <w:rFonts w:cstheme="minorHAnsi"/>
          <w:sz w:val="22"/>
          <w:szCs w:val="22"/>
        </w:rPr>
        <w:t xml:space="preserve">a u </w:t>
      </w:r>
      <w:r w:rsidR="000F0E7D">
        <w:rPr>
          <w:rFonts w:cstheme="minorHAnsi"/>
          <w:sz w:val="22"/>
          <w:szCs w:val="22"/>
        </w:rPr>
        <w:t xml:space="preserve">prvoj polovici </w:t>
      </w:r>
      <w:r w:rsidRPr="00BF4249">
        <w:rPr>
          <w:rFonts w:cstheme="minorHAnsi"/>
          <w:sz w:val="22"/>
          <w:szCs w:val="22"/>
        </w:rPr>
        <w:t>202</w:t>
      </w:r>
      <w:r w:rsidR="00E530A7">
        <w:rPr>
          <w:rFonts w:cstheme="minorHAnsi"/>
          <w:sz w:val="22"/>
          <w:szCs w:val="22"/>
        </w:rPr>
        <w:t>4</w:t>
      </w:r>
      <w:r w:rsidRPr="00BF4249">
        <w:rPr>
          <w:rFonts w:cstheme="minorHAnsi"/>
          <w:sz w:val="22"/>
          <w:szCs w:val="22"/>
        </w:rPr>
        <w:t>. godin</w:t>
      </w:r>
      <w:r w:rsidR="000F0E7D">
        <w:rPr>
          <w:rFonts w:cstheme="minorHAnsi"/>
          <w:sz w:val="22"/>
          <w:szCs w:val="22"/>
        </w:rPr>
        <w:t>e</w:t>
      </w:r>
      <w:r w:rsidRPr="00BF4249">
        <w:rPr>
          <w:rFonts w:cstheme="minorHAnsi"/>
          <w:sz w:val="22"/>
          <w:szCs w:val="22"/>
        </w:rPr>
        <w:t xml:space="preserve"> ostvaren</w:t>
      </w:r>
      <w:r>
        <w:rPr>
          <w:rFonts w:cstheme="minorHAnsi"/>
          <w:sz w:val="22"/>
          <w:szCs w:val="22"/>
        </w:rPr>
        <w:t xml:space="preserve"> je</w:t>
      </w:r>
      <w:r w:rsidRPr="00BF4249">
        <w:rPr>
          <w:rFonts w:cstheme="minorHAnsi"/>
          <w:sz w:val="22"/>
          <w:szCs w:val="22"/>
        </w:rPr>
        <w:t xml:space="preserve"> u iznosu od </w:t>
      </w:r>
      <w:r w:rsidR="00E530A7" w:rsidRPr="00E530A7">
        <w:rPr>
          <w:rFonts w:cstheme="minorHAnsi"/>
          <w:sz w:val="22"/>
          <w:szCs w:val="22"/>
        </w:rPr>
        <w:t>36.608,26</w:t>
      </w:r>
      <w:r w:rsidR="000F0E7D">
        <w:rPr>
          <w:rFonts w:cstheme="minorHAnsi"/>
          <w:sz w:val="22"/>
          <w:szCs w:val="22"/>
        </w:rPr>
        <w:t xml:space="preserve"> eura</w:t>
      </w:r>
      <w:r w:rsidRPr="00BF4249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Ostali porezni prihodi se odnose na porez na promet nekretnina, te porez na kuće za odmor čije je ostvarenje </w:t>
      </w:r>
      <w:r w:rsidR="00E530A7">
        <w:rPr>
          <w:rFonts w:cstheme="minorHAnsi"/>
          <w:sz w:val="22"/>
          <w:szCs w:val="22"/>
        </w:rPr>
        <w:t>također smanjeno</w:t>
      </w:r>
      <w:r>
        <w:rPr>
          <w:rFonts w:cstheme="minorHAnsi"/>
          <w:sz w:val="22"/>
          <w:szCs w:val="22"/>
        </w:rPr>
        <w:t>.</w:t>
      </w:r>
    </w:p>
    <w:p w14:paraId="75BEC43E" w14:textId="77777777" w:rsidR="000163DD" w:rsidRPr="00000576" w:rsidRDefault="000163DD" w:rsidP="000163DD">
      <w:pPr>
        <w:spacing w:before="0" w:after="120" w:line="240" w:lineRule="auto"/>
        <w:rPr>
          <w:rFonts w:cstheme="minorHAnsi"/>
          <w:sz w:val="22"/>
          <w:szCs w:val="22"/>
        </w:rPr>
      </w:pPr>
    </w:p>
    <w:p w14:paraId="01CDDD58" w14:textId="0CA7C62B" w:rsidR="00A747E5" w:rsidRPr="00F00684" w:rsidRDefault="00F00684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7" w:name="_Toc144891685"/>
      <w:r w:rsidRPr="00F00684">
        <w:rPr>
          <w:b/>
          <w:caps w:val="0"/>
          <w:sz w:val="22"/>
        </w:rPr>
        <w:t>Pomoći iz inozemstva i od subjekata unutar općeg proračuna</w:t>
      </w:r>
      <w:bookmarkEnd w:id="7"/>
      <w:r w:rsidRPr="00F00684">
        <w:rPr>
          <w:b/>
          <w:caps w:val="0"/>
          <w:sz w:val="22"/>
        </w:rPr>
        <w:t xml:space="preserve"> </w:t>
      </w:r>
    </w:p>
    <w:p w14:paraId="5A5AA53B" w14:textId="65DEFFE6" w:rsidR="00996402" w:rsidRDefault="00A747E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Pomoći iz inozemstva i od subjekata unutar općeg proračuna realizirane su u iznosu od </w:t>
      </w:r>
      <w:r w:rsidR="00457F7D" w:rsidRPr="00457F7D">
        <w:rPr>
          <w:rFonts w:cstheme="minorHAnsi"/>
          <w:sz w:val="22"/>
          <w:szCs w:val="22"/>
        </w:rPr>
        <w:t>291.871,93</w:t>
      </w:r>
      <w:r w:rsidR="000F0E7D">
        <w:rPr>
          <w:rFonts w:cstheme="minorHAnsi"/>
          <w:sz w:val="22"/>
          <w:szCs w:val="22"/>
        </w:rPr>
        <w:t xml:space="preserve"> eura,</w:t>
      </w:r>
      <w:r w:rsidRPr="00000576">
        <w:rPr>
          <w:rFonts w:cstheme="minorHAnsi"/>
          <w:sz w:val="22"/>
          <w:szCs w:val="22"/>
        </w:rPr>
        <w:t xml:space="preserve"> te su </w:t>
      </w:r>
      <w:r w:rsidR="000F0E7D">
        <w:rPr>
          <w:rFonts w:cstheme="minorHAnsi"/>
          <w:sz w:val="22"/>
          <w:szCs w:val="22"/>
        </w:rPr>
        <w:t xml:space="preserve">u </w:t>
      </w:r>
      <w:r w:rsidRPr="00000576">
        <w:rPr>
          <w:rFonts w:cstheme="minorHAnsi"/>
          <w:sz w:val="22"/>
          <w:szCs w:val="22"/>
        </w:rPr>
        <w:t>odnosu na prethodno izvještajno razdoblje</w:t>
      </w:r>
      <w:r w:rsidR="005C123A" w:rsidRPr="00000576">
        <w:rPr>
          <w:rFonts w:cstheme="minorHAnsi"/>
          <w:sz w:val="22"/>
          <w:szCs w:val="22"/>
        </w:rPr>
        <w:t xml:space="preserve"> </w:t>
      </w:r>
      <w:r w:rsidR="00457F7D">
        <w:rPr>
          <w:rFonts w:cstheme="minorHAnsi"/>
          <w:sz w:val="22"/>
          <w:szCs w:val="22"/>
        </w:rPr>
        <w:t>veće</w:t>
      </w:r>
      <w:r w:rsidR="00E75D88">
        <w:rPr>
          <w:rFonts w:cstheme="minorHAnsi"/>
          <w:sz w:val="22"/>
          <w:szCs w:val="22"/>
        </w:rPr>
        <w:t xml:space="preserve"> za </w:t>
      </w:r>
      <w:r w:rsidR="00457F7D">
        <w:rPr>
          <w:rFonts w:cstheme="minorHAnsi"/>
          <w:sz w:val="22"/>
          <w:szCs w:val="22"/>
        </w:rPr>
        <w:t>62,81</w:t>
      </w:r>
      <w:r w:rsidR="00117578">
        <w:rPr>
          <w:rFonts w:cstheme="minorHAnsi"/>
          <w:sz w:val="22"/>
          <w:szCs w:val="22"/>
        </w:rPr>
        <w:t>%</w:t>
      </w:r>
      <w:r w:rsidR="009C6954">
        <w:rPr>
          <w:rFonts w:cstheme="minorHAnsi"/>
          <w:sz w:val="22"/>
          <w:szCs w:val="22"/>
        </w:rPr>
        <w:t>.</w:t>
      </w:r>
      <w:r w:rsidR="005C123A" w:rsidRPr="00000576">
        <w:rPr>
          <w:rFonts w:cstheme="minorHAnsi"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5"/>
        <w:gridCol w:w="4452"/>
        <w:gridCol w:w="1200"/>
        <w:gridCol w:w="1200"/>
        <w:gridCol w:w="1202"/>
        <w:gridCol w:w="849"/>
        <w:gridCol w:w="818"/>
      </w:tblGrid>
      <w:tr w:rsidR="00946DF9" w:rsidRPr="00946DF9" w14:paraId="76963A06" w14:textId="77777777" w:rsidTr="007F5F23">
        <w:trPr>
          <w:trHeight w:val="22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EAFF84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F596742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3DB3602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BB394D7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361B2BB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612735E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E0C946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946DF9" w:rsidRPr="00946DF9" w14:paraId="1516D8C7" w14:textId="77777777" w:rsidTr="007F5F23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C3CEFD6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8C9E817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4D9A43C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C7E3829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13D56BD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9353BF8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4A727B" w14:textId="77777777" w:rsidR="00946DF9" w:rsidRPr="00946DF9" w:rsidRDefault="00946DF9" w:rsidP="00946DF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946DF9" w:rsidRPr="00946DF9" w14:paraId="1D5030F4" w14:textId="77777777" w:rsidTr="007F5F23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86FE5F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D93F34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Pomoći iz inozemstva i od subjekata unutar općeg proračuna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5A8CAC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179.266,17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D39A13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1.630.000,00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CA7A7B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291.871,93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C9A7A3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162,81%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0E1B7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17,91%</w:t>
            </w:r>
          </w:p>
        </w:tc>
      </w:tr>
      <w:tr w:rsidR="00946DF9" w:rsidRPr="00946DF9" w14:paraId="6AAAB5DF" w14:textId="77777777" w:rsidTr="007F5F23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72C3B4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633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CA99AB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Pomoći proračunu iz drugih proračuna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7627AF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106.261,50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DD5A5D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E069F2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202.771,93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4D1951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190,82%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11F4D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46DF9" w:rsidRPr="00946DF9" w14:paraId="4F635A57" w14:textId="77777777" w:rsidTr="007F5F23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10113E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6331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723A36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Tekuće pomoći proračunu iz drugih proračuna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2FF66C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106.261,50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0D47AD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83ABC2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110.848,86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61319B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104,32%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8D229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46DF9" w:rsidRPr="00946DF9" w14:paraId="0B7D1527" w14:textId="77777777" w:rsidTr="007F5F23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8DA794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6332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62A8CB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Kapitalne pomoći proračunu iz drugih proračuna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F226EC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CC07E6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57C610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91.923,07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5646E7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AE5C1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46DF9" w:rsidRPr="00946DF9" w14:paraId="47581E4B" w14:textId="77777777" w:rsidTr="007F5F23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A12C31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634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294864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Pomoći od izvanproračunskih korisnika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CAF014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18.610,92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69219B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3B1832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1BE465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5D34E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46DF9" w:rsidRPr="00946DF9" w14:paraId="463274AC" w14:textId="77777777" w:rsidTr="007F5F23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8EFD9D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6341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A425C1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Tekuće pomoći od izvanproračunskih korisnika 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496663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E98E73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0AAB3E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583EB8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AE079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46DF9" w:rsidRPr="00946DF9" w14:paraId="4790A49A" w14:textId="77777777" w:rsidTr="007F5F23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B2C7D9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6342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A98FC0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Kapitalne pomoći od izvanproračunskih korisnika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FC69E8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18.610,92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77A2C0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AB85CD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38F272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9EB9D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46DF9" w:rsidRPr="00946DF9" w14:paraId="42C1B1E4" w14:textId="77777777" w:rsidTr="007F5F23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077520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638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25038D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Pomoći  temeljem prijenosa EU sredstava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05F12B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54.393,75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01DA42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1EF56F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89.100,00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BA8CE5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163,81%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C2AC5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46DF9" w:rsidRPr="00946DF9" w14:paraId="40AF06A5" w14:textId="77777777" w:rsidTr="007F5F23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D24814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6381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23EF58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Tekuće pomoći  temeljem prijenosa EU sredstava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A1F922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54.393,75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DF520F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5BF8F1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89.100,00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6A1A2E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163,81%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B2E60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46DF9" w:rsidRPr="00946DF9" w14:paraId="5F1144A8" w14:textId="77777777" w:rsidTr="007F5F23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9EC5D4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6382</w:t>
            </w:r>
          </w:p>
        </w:tc>
        <w:tc>
          <w:tcPr>
            <w:tcW w:w="2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182059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Kapitalne pomoći  temeljem prijenosa EU sredstava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9DB100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9C2F75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D568E7" w14:textId="77777777" w:rsidR="00946DF9" w:rsidRPr="00946DF9" w:rsidRDefault="00946DF9" w:rsidP="00946DF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26581C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EFD1E" w14:textId="77777777" w:rsidR="00946DF9" w:rsidRPr="00946DF9" w:rsidRDefault="00946DF9" w:rsidP="00946DF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6DF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071BB9AE" w14:textId="3CB2A2DC" w:rsidR="00A747E5" w:rsidRPr="00000576" w:rsidRDefault="00A747E5" w:rsidP="0045314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Tekuće pomoći </w:t>
      </w:r>
      <w:r w:rsidR="00E74899" w:rsidRPr="00000576">
        <w:rPr>
          <w:rFonts w:cstheme="minorHAnsi"/>
          <w:sz w:val="22"/>
          <w:szCs w:val="22"/>
        </w:rPr>
        <w:t xml:space="preserve">iz drugih proračuna </w:t>
      </w:r>
      <w:r w:rsidR="00D8040E">
        <w:rPr>
          <w:rFonts w:cstheme="minorHAnsi"/>
          <w:sz w:val="22"/>
          <w:szCs w:val="22"/>
        </w:rPr>
        <w:t xml:space="preserve">najznačajniji su prihod unutar ove skupine prihoda, a </w:t>
      </w:r>
      <w:r w:rsidR="009C6954">
        <w:rPr>
          <w:rFonts w:cstheme="minorHAnsi"/>
          <w:sz w:val="22"/>
          <w:szCs w:val="22"/>
        </w:rPr>
        <w:t xml:space="preserve">odnose se na </w:t>
      </w:r>
      <w:r w:rsidR="00D8040E">
        <w:rPr>
          <w:rFonts w:cstheme="minorHAnsi"/>
          <w:sz w:val="22"/>
          <w:szCs w:val="22"/>
        </w:rPr>
        <w:t>isplate kompenzacijske mjere</w:t>
      </w:r>
      <w:r w:rsidR="009C6954">
        <w:rPr>
          <w:rFonts w:cstheme="minorHAnsi"/>
          <w:sz w:val="22"/>
          <w:szCs w:val="22"/>
        </w:rPr>
        <w:t xml:space="preserve"> iz državnog </w:t>
      </w:r>
      <w:r w:rsidR="00D8040E">
        <w:rPr>
          <w:rFonts w:cstheme="minorHAnsi"/>
          <w:sz w:val="22"/>
          <w:szCs w:val="22"/>
        </w:rPr>
        <w:t>proračuna</w:t>
      </w:r>
      <w:r w:rsidR="009C6954">
        <w:rPr>
          <w:rFonts w:cstheme="minorHAnsi"/>
          <w:sz w:val="22"/>
          <w:szCs w:val="22"/>
        </w:rPr>
        <w:t xml:space="preserve">, </w:t>
      </w:r>
      <w:r w:rsidR="00D8040E">
        <w:rPr>
          <w:rFonts w:cstheme="minorHAnsi"/>
          <w:sz w:val="22"/>
          <w:szCs w:val="22"/>
        </w:rPr>
        <w:t>te su</w:t>
      </w:r>
      <w:r w:rsidR="009C6954">
        <w:rPr>
          <w:rFonts w:cstheme="minorHAnsi"/>
          <w:sz w:val="22"/>
          <w:szCs w:val="22"/>
        </w:rPr>
        <w:t xml:space="preserve"> ostvarene u iznosu od </w:t>
      </w:r>
      <w:r w:rsidR="00457F7D" w:rsidRPr="00457F7D">
        <w:rPr>
          <w:rFonts w:cstheme="minorHAnsi"/>
          <w:sz w:val="22"/>
          <w:szCs w:val="22"/>
        </w:rPr>
        <w:t>110.848,86</w:t>
      </w:r>
      <w:r w:rsidR="008B4A19">
        <w:rPr>
          <w:rFonts w:cstheme="minorHAnsi"/>
          <w:sz w:val="22"/>
          <w:szCs w:val="22"/>
        </w:rPr>
        <w:t xml:space="preserve"> eura</w:t>
      </w:r>
      <w:r w:rsidR="00154587">
        <w:rPr>
          <w:rFonts w:cstheme="minorHAnsi"/>
          <w:sz w:val="22"/>
          <w:szCs w:val="22"/>
        </w:rPr>
        <w:t>.</w:t>
      </w:r>
      <w:r w:rsidR="004F24B1" w:rsidRPr="00000576">
        <w:rPr>
          <w:rFonts w:cstheme="minorHAnsi"/>
          <w:sz w:val="22"/>
          <w:szCs w:val="22"/>
        </w:rPr>
        <w:t xml:space="preserve"> </w:t>
      </w:r>
    </w:p>
    <w:p w14:paraId="57FB9A1A" w14:textId="2E63F813" w:rsidR="008B4A19" w:rsidRDefault="008B4A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8B4A19">
        <w:rPr>
          <w:rFonts w:cstheme="minorHAnsi"/>
          <w:sz w:val="22"/>
          <w:szCs w:val="22"/>
        </w:rPr>
        <w:t xml:space="preserve">Kapitalne pomoći iz drugih proračuna ostvarene </w:t>
      </w:r>
      <w:r w:rsidR="00457F7D">
        <w:rPr>
          <w:rFonts w:cstheme="minorHAnsi"/>
          <w:sz w:val="22"/>
          <w:szCs w:val="22"/>
        </w:rPr>
        <w:t xml:space="preserve">su </w:t>
      </w:r>
      <w:r w:rsidRPr="008B4A19">
        <w:rPr>
          <w:rFonts w:cstheme="minorHAnsi"/>
          <w:sz w:val="22"/>
          <w:szCs w:val="22"/>
        </w:rPr>
        <w:t xml:space="preserve">u </w:t>
      </w:r>
      <w:r w:rsidR="00457F7D">
        <w:rPr>
          <w:rFonts w:cstheme="minorHAnsi"/>
          <w:sz w:val="22"/>
          <w:szCs w:val="22"/>
        </w:rPr>
        <w:t xml:space="preserve">iznosu od </w:t>
      </w:r>
      <w:r w:rsidR="00457F7D" w:rsidRPr="00457F7D">
        <w:rPr>
          <w:rFonts w:cstheme="minorHAnsi"/>
          <w:sz w:val="22"/>
          <w:szCs w:val="22"/>
        </w:rPr>
        <w:t>91.923,07</w:t>
      </w:r>
      <w:r w:rsidR="00457F7D">
        <w:rPr>
          <w:rFonts w:cstheme="minorHAnsi"/>
          <w:sz w:val="22"/>
          <w:szCs w:val="22"/>
        </w:rPr>
        <w:t xml:space="preserve"> eura a odnose se u cijelosti na kapitalne pomoći iz državnog proračuna </w:t>
      </w:r>
      <w:r w:rsidR="00457F7D" w:rsidRPr="00457F7D">
        <w:rPr>
          <w:rFonts w:cstheme="minorHAnsi"/>
          <w:sz w:val="22"/>
          <w:szCs w:val="22"/>
        </w:rPr>
        <w:t>za realizaciju projekata „Izgradnja višenamjenskog društvenog doma Ovčara“</w:t>
      </w:r>
      <w:r w:rsidR="00457F7D">
        <w:rPr>
          <w:rFonts w:cstheme="minorHAnsi"/>
          <w:sz w:val="22"/>
          <w:szCs w:val="22"/>
        </w:rPr>
        <w:t>.</w:t>
      </w:r>
    </w:p>
    <w:p w14:paraId="4A722279" w14:textId="16DD86BD" w:rsidR="00F10065" w:rsidRDefault="008B4A1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Pomoći </w:t>
      </w:r>
      <w:r w:rsidR="001125F1" w:rsidRPr="00000576">
        <w:rPr>
          <w:rFonts w:cstheme="minorHAnsi"/>
          <w:sz w:val="22"/>
          <w:szCs w:val="22"/>
        </w:rPr>
        <w:t xml:space="preserve">od </w:t>
      </w:r>
      <w:r w:rsidR="00181225" w:rsidRPr="00000576">
        <w:rPr>
          <w:rFonts w:cstheme="minorHAnsi"/>
          <w:sz w:val="22"/>
          <w:szCs w:val="22"/>
        </w:rPr>
        <w:t>izvanproračunskih korisnika</w:t>
      </w:r>
      <w:r w:rsidR="00250D2E" w:rsidRPr="00000576">
        <w:rPr>
          <w:rFonts w:cstheme="minorHAnsi"/>
          <w:sz w:val="22"/>
          <w:szCs w:val="22"/>
        </w:rPr>
        <w:t xml:space="preserve"> </w:t>
      </w:r>
      <w:r w:rsidR="00457F7D">
        <w:rPr>
          <w:rFonts w:cstheme="minorHAnsi"/>
          <w:sz w:val="22"/>
          <w:szCs w:val="22"/>
        </w:rPr>
        <w:t>nisu ostvarene u promatranom razdoblju</w:t>
      </w:r>
      <w:r w:rsidR="00F10065">
        <w:rPr>
          <w:rFonts w:cstheme="minorHAnsi"/>
          <w:sz w:val="22"/>
          <w:szCs w:val="22"/>
        </w:rPr>
        <w:t>.</w:t>
      </w:r>
      <w:r w:rsidR="00F10065" w:rsidRPr="00F10065">
        <w:rPr>
          <w:rFonts w:cstheme="minorHAnsi"/>
          <w:sz w:val="22"/>
          <w:szCs w:val="22"/>
        </w:rPr>
        <w:t xml:space="preserve"> </w:t>
      </w:r>
    </w:p>
    <w:p w14:paraId="3F683BA7" w14:textId="2EC962EB" w:rsidR="008C2930" w:rsidRDefault="008C2930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8C2930">
        <w:rPr>
          <w:rFonts w:cstheme="minorHAnsi"/>
          <w:sz w:val="22"/>
          <w:szCs w:val="22"/>
        </w:rPr>
        <w:t xml:space="preserve">Pomoći temeljem prijenosa EU sredstava ostvarene su u iznosu od </w:t>
      </w:r>
      <w:r w:rsidR="00457F7D" w:rsidRPr="00457F7D">
        <w:rPr>
          <w:rFonts w:cstheme="minorHAnsi"/>
          <w:sz w:val="22"/>
          <w:szCs w:val="22"/>
        </w:rPr>
        <w:t>89.100,00</w:t>
      </w:r>
      <w:r w:rsidR="008B4A19">
        <w:rPr>
          <w:rFonts w:cstheme="minorHAnsi"/>
          <w:sz w:val="22"/>
          <w:szCs w:val="22"/>
        </w:rPr>
        <w:t xml:space="preserve"> eura</w:t>
      </w:r>
      <w:r w:rsidRPr="008C2930">
        <w:rPr>
          <w:rFonts w:cstheme="minorHAnsi"/>
          <w:sz w:val="22"/>
          <w:szCs w:val="22"/>
        </w:rPr>
        <w:t xml:space="preserve">, </w:t>
      </w:r>
      <w:r w:rsidR="008B4A19">
        <w:rPr>
          <w:rFonts w:cstheme="minorHAnsi"/>
          <w:sz w:val="22"/>
          <w:szCs w:val="22"/>
        </w:rPr>
        <w:t xml:space="preserve">a u potpunosti se odnose na </w:t>
      </w:r>
      <w:r w:rsidR="00457F7D">
        <w:rPr>
          <w:rFonts w:cstheme="minorHAnsi"/>
          <w:sz w:val="22"/>
          <w:szCs w:val="22"/>
        </w:rPr>
        <w:t xml:space="preserve">predujam za provedbu </w:t>
      </w:r>
      <w:r w:rsidRPr="008C2930">
        <w:rPr>
          <w:rFonts w:cstheme="minorHAnsi"/>
          <w:sz w:val="22"/>
          <w:szCs w:val="22"/>
        </w:rPr>
        <w:t>projekt</w:t>
      </w:r>
      <w:r w:rsidR="00457F7D">
        <w:rPr>
          <w:rFonts w:cstheme="minorHAnsi"/>
          <w:sz w:val="22"/>
          <w:szCs w:val="22"/>
        </w:rPr>
        <w:t>a</w:t>
      </w:r>
      <w:r w:rsidRPr="008C2930">
        <w:rPr>
          <w:rFonts w:cstheme="minorHAnsi"/>
          <w:sz w:val="22"/>
          <w:szCs w:val="22"/>
        </w:rPr>
        <w:t xml:space="preserve"> „Zaželi </w:t>
      </w:r>
      <w:r w:rsidR="008B4A19">
        <w:rPr>
          <w:rFonts w:cstheme="minorHAnsi"/>
          <w:sz w:val="22"/>
          <w:szCs w:val="22"/>
        </w:rPr>
        <w:t>I</w:t>
      </w:r>
      <w:r w:rsidR="00457F7D">
        <w:rPr>
          <w:rFonts w:cstheme="minorHAnsi"/>
          <w:sz w:val="22"/>
          <w:szCs w:val="22"/>
        </w:rPr>
        <w:t>V – Srcem za njih 3</w:t>
      </w:r>
      <w:r w:rsidRPr="008C2930">
        <w:rPr>
          <w:rFonts w:cstheme="minorHAnsi"/>
          <w:sz w:val="22"/>
          <w:szCs w:val="22"/>
        </w:rPr>
        <w:t>“.</w:t>
      </w:r>
    </w:p>
    <w:p w14:paraId="626B05F2" w14:textId="77777777" w:rsidR="00554C35" w:rsidRDefault="00554C3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8F75F5B" w14:textId="0F01AE19" w:rsidR="00084D94" w:rsidRPr="0045314E" w:rsidRDefault="0045314E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8" w:name="_Toc144891686"/>
      <w:r w:rsidRPr="0045314E">
        <w:rPr>
          <w:b/>
          <w:caps w:val="0"/>
          <w:sz w:val="22"/>
        </w:rPr>
        <w:t>Prihodi od imovine</w:t>
      </w:r>
      <w:bookmarkEnd w:id="8"/>
    </w:p>
    <w:p w14:paraId="6511EC7E" w14:textId="7158739E" w:rsidR="007971C9" w:rsidRDefault="0027405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Prihodi od imovine realizirani su u iznosu od </w:t>
      </w:r>
      <w:r w:rsidR="000518BD" w:rsidRPr="000518BD">
        <w:rPr>
          <w:rFonts w:cstheme="minorHAnsi"/>
          <w:sz w:val="22"/>
          <w:szCs w:val="22"/>
        </w:rPr>
        <w:t>12.016,84</w:t>
      </w:r>
      <w:r w:rsidR="00554C35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, što predstavlja </w:t>
      </w:r>
      <w:r w:rsidR="000518BD">
        <w:rPr>
          <w:rFonts w:cstheme="minorHAnsi"/>
          <w:sz w:val="22"/>
          <w:szCs w:val="22"/>
        </w:rPr>
        <w:t>povećanje</w:t>
      </w:r>
      <w:r w:rsidR="00894864" w:rsidRPr="00000576">
        <w:rPr>
          <w:rFonts w:cstheme="minorHAnsi"/>
          <w:sz w:val="22"/>
          <w:szCs w:val="22"/>
        </w:rPr>
        <w:t xml:space="preserve"> </w:t>
      </w:r>
      <w:r w:rsidRPr="00000576">
        <w:rPr>
          <w:rFonts w:cstheme="minorHAnsi"/>
          <w:sz w:val="22"/>
          <w:szCs w:val="22"/>
        </w:rPr>
        <w:t>u odnosu na</w:t>
      </w:r>
      <w:r w:rsidR="00554C35">
        <w:rPr>
          <w:rFonts w:cstheme="minorHAnsi"/>
          <w:sz w:val="22"/>
          <w:szCs w:val="22"/>
        </w:rPr>
        <w:t xml:space="preserve"> isto razdoblje </w:t>
      </w:r>
      <w:r w:rsidR="00E6182A">
        <w:rPr>
          <w:rFonts w:cstheme="minorHAnsi"/>
          <w:sz w:val="22"/>
          <w:szCs w:val="22"/>
        </w:rPr>
        <w:t>202</w:t>
      </w:r>
      <w:r w:rsidR="000518BD">
        <w:rPr>
          <w:rFonts w:cstheme="minorHAnsi"/>
          <w:sz w:val="22"/>
          <w:szCs w:val="22"/>
        </w:rPr>
        <w:t>3</w:t>
      </w:r>
      <w:r w:rsidR="00E6182A">
        <w:rPr>
          <w:rFonts w:cstheme="minorHAnsi"/>
          <w:sz w:val="22"/>
          <w:szCs w:val="22"/>
        </w:rPr>
        <w:t>. godin</w:t>
      </w:r>
      <w:r w:rsidR="000518BD">
        <w:rPr>
          <w:rFonts w:cstheme="minorHAnsi"/>
          <w:sz w:val="22"/>
          <w:szCs w:val="22"/>
        </w:rPr>
        <w:t>e</w:t>
      </w:r>
      <w:r w:rsidR="00BC38E5">
        <w:rPr>
          <w:rFonts w:cstheme="minorHAnsi"/>
          <w:sz w:val="22"/>
          <w:szCs w:val="22"/>
        </w:rPr>
        <w:t>, a</w:t>
      </w:r>
      <w:r w:rsidR="00BC38E5" w:rsidRPr="00BC38E5">
        <w:rPr>
          <w:rFonts w:cstheme="minorHAnsi"/>
          <w:sz w:val="22"/>
          <w:szCs w:val="22"/>
        </w:rPr>
        <w:t xml:space="preserve"> </w:t>
      </w:r>
      <w:r w:rsidR="00BC38E5">
        <w:rPr>
          <w:rFonts w:cstheme="minorHAnsi"/>
          <w:sz w:val="22"/>
          <w:szCs w:val="22"/>
        </w:rPr>
        <w:t xml:space="preserve">ostvareno je </w:t>
      </w:r>
      <w:r w:rsidR="000518BD">
        <w:rPr>
          <w:rFonts w:cstheme="minorHAnsi"/>
          <w:sz w:val="22"/>
          <w:szCs w:val="22"/>
        </w:rPr>
        <w:t>46,40</w:t>
      </w:r>
      <w:r w:rsidR="00BC38E5">
        <w:rPr>
          <w:rFonts w:cstheme="minorHAnsi"/>
          <w:sz w:val="22"/>
          <w:szCs w:val="22"/>
        </w:rPr>
        <w:t>% planiranog iznosa.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4465"/>
        <w:gridCol w:w="1192"/>
        <w:gridCol w:w="1192"/>
        <w:gridCol w:w="1192"/>
        <w:gridCol w:w="849"/>
        <w:gridCol w:w="822"/>
      </w:tblGrid>
      <w:tr w:rsidR="000518BD" w:rsidRPr="00DB0086" w14:paraId="60C9E8B1" w14:textId="77777777" w:rsidTr="007F5F23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E3D6F58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E53DF0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85F827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C8DD373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7F5B01A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771C0AB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F93743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0518BD" w:rsidRPr="00DB0086" w14:paraId="4390B2D5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CF0C8F5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C5A461A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E405140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479DD30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2276B95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D56F165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77875C" w14:textId="77777777" w:rsidR="00DB0086" w:rsidRPr="00DB0086" w:rsidRDefault="00DB0086" w:rsidP="00DB008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0518BD" w:rsidRPr="00DB0086" w14:paraId="7F7EA63A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296A20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64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D911CF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imovine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8D1747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9.015,94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C2D9E8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25.900,00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2E6E53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12.016,84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4B4637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133,28%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15A36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46,40%</w:t>
            </w:r>
          </w:p>
        </w:tc>
      </w:tr>
      <w:tr w:rsidR="000518BD" w:rsidRPr="00DB0086" w14:paraId="79158FF4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BBEC64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641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6892C5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Prihodi od financijske imovine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D34C41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5,48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215EC3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3D3023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6,11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6C8B9F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111,50%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55BF4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DB0086" w14:paraId="26D0AB35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408EA2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6413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ACB499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Kamate na oročena sredstva i depozite po viđenju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98F998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5,48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AC15E8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D14F61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6,11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DF1DDF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111,50%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9C17E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DB0086" w14:paraId="33D47DD4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44DF14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6414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2EDF67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Prihodi od zateznih kamata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3D43CA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5E8043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6B690C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A9E1F9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F0DE2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DB0086" w14:paraId="6977F3B1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EC08FA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642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214C4A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Prihodi od nefinancijske imovine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789B41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9.010,46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E90DDE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C5BDDC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12.010,73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119450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133,30%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3906A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DB0086" w14:paraId="481F3BEF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CCCE8E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6421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1CDDBB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Naknade za koncesije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72EEA1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3969F6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A2CEA6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DE6656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8B546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DB0086" w14:paraId="67F10415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4B2340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6422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944FE0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Prihodi od zakupa i iznajmljivanja imovine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C92781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8.863,39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FD659D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302B7F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11.906,15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01A3E5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134,33%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94C4E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DB0086" w14:paraId="307250B7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3678DD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6429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C78AF4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Ostali prihodi od nefinancijske imovine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2A9638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147,07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D1CB8B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7A6E3C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104,58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E3CC5D" w14:textId="77777777" w:rsidR="00DB0086" w:rsidRPr="00DB0086" w:rsidRDefault="00DB0086" w:rsidP="00DB008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71,11%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3DA16" w14:textId="77777777" w:rsidR="00DB0086" w:rsidRPr="00DB0086" w:rsidRDefault="00DB0086" w:rsidP="00DB008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B008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13E309B3" w14:textId="7FC2EBB0" w:rsidR="008C2930" w:rsidRPr="008C2930" w:rsidRDefault="00C77235" w:rsidP="008C2930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Ostvareni prihodi od imovine se gotovo u potpunosti odnose na </w:t>
      </w:r>
      <w:r w:rsidRPr="00000576">
        <w:rPr>
          <w:rFonts w:cstheme="minorHAnsi"/>
          <w:sz w:val="22"/>
          <w:szCs w:val="22"/>
        </w:rPr>
        <w:t>prihod od zakupa i iznajmljivanja imovine</w:t>
      </w:r>
      <w:r w:rsidR="008C2930" w:rsidRPr="008C2930">
        <w:rPr>
          <w:rFonts w:cstheme="minorHAnsi"/>
          <w:sz w:val="22"/>
          <w:szCs w:val="22"/>
        </w:rPr>
        <w:t xml:space="preserve">, te su </w:t>
      </w:r>
      <w:r w:rsidR="000518BD">
        <w:rPr>
          <w:rFonts w:cstheme="minorHAnsi"/>
          <w:sz w:val="22"/>
          <w:szCs w:val="22"/>
        </w:rPr>
        <w:t>povećani</w:t>
      </w:r>
      <w:r w:rsidR="008C2930" w:rsidRPr="008C2930">
        <w:rPr>
          <w:rFonts w:cstheme="minorHAnsi"/>
          <w:sz w:val="22"/>
          <w:szCs w:val="22"/>
        </w:rPr>
        <w:t xml:space="preserve"> u odnosu na </w:t>
      </w:r>
      <w:r>
        <w:rPr>
          <w:rFonts w:cstheme="minorHAnsi"/>
          <w:sz w:val="22"/>
          <w:szCs w:val="22"/>
        </w:rPr>
        <w:t>prethodnu godinu.</w:t>
      </w:r>
    </w:p>
    <w:p w14:paraId="34352169" w14:textId="77777777" w:rsidR="00E671D0" w:rsidRPr="00000576" w:rsidRDefault="00E671D0" w:rsidP="00DD520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65167258" w14:textId="33690A03" w:rsidR="0027166B" w:rsidRPr="0045314E" w:rsidRDefault="0045314E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9" w:name="_Toc144891687"/>
      <w:r w:rsidRPr="0045314E">
        <w:rPr>
          <w:b/>
          <w:caps w:val="0"/>
          <w:sz w:val="22"/>
        </w:rPr>
        <w:t>Prihodi od upravnih i administrativnih pristojbi, pristojbi posebnim propisima i naknadama</w:t>
      </w:r>
      <w:bookmarkEnd w:id="9"/>
      <w:r w:rsidRPr="0045314E">
        <w:rPr>
          <w:b/>
          <w:caps w:val="0"/>
          <w:sz w:val="22"/>
        </w:rPr>
        <w:t xml:space="preserve"> </w:t>
      </w:r>
    </w:p>
    <w:p w14:paraId="292D97A0" w14:textId="41DB5353" w:rsidR="0027166B" w:rsidRDefault="0027166B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P</w:t>
      </w:r>
      <w:r w:rsidR="00735F4B" w:rsidRPr="00000576">
        <w:rPr>
          <w:rFonts w:cstheme="minorHAnsi"/>
          <w:sz w:val="22"/>
          <w:szCs w:val="22"/>
        </w:rPr>
        <w:t>rihodi od upravnih i administrativnih pristojbi, pristojbi posebnim propisima i naknadama</w:t>
      </w:r>
      <w:r w:rsidRPr="00000576">
        <w:rPr>
          <w:rFonts w:cstheme="minorHAnsi"/>
          <w:sz w:val="22"/>
          <w:szCs w:val="22"/>
        </w:rPr>
        <w:t xml:space="preserve"> su iznos</w:t>
      </w:r>
      <w:r w:rsidR="00735F4B" w:rsidRPr="00000576">
        <w:rPr>
          <w:rFonts w:cstheme="minorHAnsi"/>
          <w:sz w:val="22"/>
          <w:szCs w:val="22"/>
        </w:rPr>
        <w:t>ili</w:t>
      </w:r>
      <w:r w:rsidRPr="00000576">
        <w:rPr>
          <w:rFonts w:cstheme="minorHAnsi"/>
          <w:sz w:val="22"/>
          <w:szCs w:val="22"/>
        </w:rPr>
        <w:t xml:space="preserve"> </w:t>
      </w:r>
      <w:r w:rsidR="000518BD" w:rsidRPr="000518BD">
        <w:rPr>
          <w:rFonts w:cstheme="minorHAnsi"/>
          <w:sz w:val="22"/>
          <w:szCs w:val="22"/>
        </w:rPr>
        <w:t>38.254,38</w:t>
      </w:r>
      <w:r w:rsidR="00C80A30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, što predstavlja </w:t>
      </w:r>
      <w:r w:rsidR="00C80A30">
        <w:rPr>
          <w:rFonts w:cstheme="minorHAnsi"/>
          <w:sz w:val="22"/>
          <w:szCs w:val="22"/>
        </w:rPr>
        <w:t>smanjenje</w:t>
      </w:r>
      <w:r w:rsidRPr="00000576">
        <w:rPr>
          <w:rFonts w:cstheme="minorHAnsi"/>
          <w:sz w:val="22"/>
          <w:szCs w:val="22"/>
        </w:rPr>
        <w:t xml:space="preserve"> u odnosu na </w:t>
      </w:r>
      <w:r w:rsidR="00C80A30">
        <w:rPr>
          <w:rFonts w:cstheme="minorHAnsi"/>
          <w:sz w:val="22"/>
          <w:szCs w:val="22"/>
        </w:rPr>
        <w:t xml:space="preserve">isto razdoblje </w:t>
      </w:r>
      <w:r w:rsidRPr="00000576">
        <w:rPr>
          <w:rFonts w:cstheme="minorHAnsi"/>
          <w:sz w:val="22"/>
          <w:szCs w:val="22"/>
        </w:rPr>
        <w:t>20</w:t>
      </w:r>
      <w:r w:rsidR="008E2D5F">
        <w:rPr>
          <w:rFonts w:cstheme="minorHAnsi"/>
          <w:sz w:val="22"/>
          <w:szCs w:val="22"/>
        </w:rPr>
        <w:t>2</w:t>
      </w:r>
      <w:r w:rsidR="000518BD">
        <w:rPr>
          <w:rFonts w:cstheme="minorHAnsi"/>
          <w:sz w:val="22"/>
          <w:szCs w:val="22"/>
        </w:rPr>
        <w:t>3</w:t>
      </w:r>
      <w:r w:rsidRPr="00000576">
        <w:rPr>
          <w:rFonts w:cstheme="minorHAnsi"/>
          <w:sz w:val="22"/>
          <w:szCs w:val="22"/>
        </w:rPr>
        <w:t>. godin</w:t>
      </w:r>
      <w:r w:rsidR="00C80A30">
        <w:rPr>
          <w:rFonts w:cstheme="minorHAnsi"/>
          <w:sz w:val="22"/>
          <w:szCs w:val="22"/>
        </w:rPr>
        <w:t>e</w:t>
      </w:r>
      <w:r w:rsidRPr="00000576">
        <w:rPr>
          <w:rFonts w:cstheme="minorHAnsi"/>
          <w:sz w:val="22"/>
          <w:szCs w:val="22"/>
        </w:rPr>
        <w:t xml:space="preserve"> od </w:t>
      </w:r>
      <w:r w:rsidR="000518BD">
        <w:rPr>
          <w:rFonts w:cstheme="minorHAnsi"/>
          <w:sz w:val="22"/>
          <w:szCs w:val="22"/>
        </w:rPr>
        <w:t>45,98</w:t>
      </w:r>
      <w:r w:rsidRPr="00000576">
        <w:rPr>
          <w:rFonts w:cstheme="minorHAnsi"/>
          <w:sz w:val="22"/>
          <w:szCs w:val="22"/>
        </w:rPr>
        <w:t>%</w:t>
      </w:r>
      <w:r w:rsidR="00F11CC6" w:rsidRPr="00000576">
        <w:rPr>
          <w:rFonts w:cstheme="minorHAnsi"/>
          <w:sz w:val="22"/>
          <w:szCs w:val="22"/>
        </w:rPr>
        <w:t xml:space="preserve">, a ostvareno je </w:t>
      </w:r>
      <w:r w:rsidR="000518BD">
        <w:rPr>
          <w:rFonts w:cstheme="minorHAnsi"/>
          <w:sz w:val="22"/>
          <w:szCs w:val="22"/>
        </w:rPr>
        <w:t>29,84</w:t>
      </w:r>
      <w:r w:rsidR="00846A46">
        <w:rPr>
          <w:rFonts w:cstheme="minorHAnsi"/>
          <w:sz w:val="22"/>
          <w:szCs w:val="22"/>
        </w:rPr>
        <w:t>%</w:t>
      </w:r>
      <w:r w:rsidR="00F11CC6" w:rsidRPr="00000576">
        <w:rPr>
          <w:rFonts w:cstheme="minorHAnsi"/>
          <w:sz w:val="22"/>
          <w:szCs w:val="22"/>
        </w:rPr>
        <w:t xml:space="preserve"> Plana za 20</w:t>
      </w:r>
      <w:r w:rsidR="00735F4B" w:rsidRPr="00000576">
        <w:rPr>
          <w:rFonts w:cstheme="minorHAnsi"/>
          <w:sz w:val="22"/>
          <w:szCs w:val="22"/>
        </w:rPr>
        <w:t>2</w:t>
      </w:r>
      <w:r w:rsidR="000518BD">
        <w:rPr>
          <w:rFonts w:cstheme="minorHAnsi"/>
          <w:sz w:val="22"/>
          <w:szCs w:val="22"/>
        </w:rPr>
        <w:t>4</w:t>
      </w:r>
      <w:r w:rsidR="00F11CC6" w:rsidRPr="00000576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4465"/>
        <w:gridCol w:w="1192"/>
        <w:gridCol w:w="1192"/>
        <w:gridCol w:w="1192"/>
        <w:gridCol w:w="849"/>
        <w:gridCol w:w="822"/>
      </w:tblGrid>
      <w:tr w:rsidR="000518BD" w:rsidRPr="000518BD" w14:paraId="7120BAB2" w14:textId="77777777" w:rsidTr="007F5F23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5BED683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Račun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5383FA6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9EE97E7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462F2A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C8C4B94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D3C4735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8478F3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0518BD" w:rsidRPr="000518BD" w14:paraId="04042977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FA73641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CD90B32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D8F3DC0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B40DE9F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2A93481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050224A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403A29" w14:textId="77777777" w:rsidR="000518BD" w:rsidRPr="000518BD" w:rsidRDefault="000518BD" w:rsidP="000518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0518BD" w:rsidRPr="000518BD" w14:paraId="63207FA5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B7634B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65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8FC67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A7D22F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70.818,47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373BF4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128.200,00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03C242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38.254,38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3FFD73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54,02%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AE359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29,84%</w:t>
            </w:r>
          </w:p>
        </w:tc>
      </w:tr>
      <w:tr w:rsidR="000518BD" w:rsidRPr="000518BD" w14:paraId="5FD86AA1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CDC8DF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651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A01923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Upravne i administrativne pristojbe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F10C97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7CAB29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BF2779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5A3628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C7744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0518BD" w14:paraId="63CE789D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7F974E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6513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DC45A2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Ostale upravne pristojbe i naknade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681777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59123D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1D781E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95D517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CA40E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0518BD" w14:paraId="5909BA93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F5FC7A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652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E374D7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Prihodi po posebnim propisima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062F80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62.681,46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5938B6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E177A8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27.766,42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B84432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44,30%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CF5AD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0518BD" w14:paraId="3AF8B284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47733D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6522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1CE333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Prihodi vodnog gospodarstva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44CE8E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39,59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B4EBD1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C761C7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FEF99E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AF292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0518BD" w14:paraId="7B32F01C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E545DF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6524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B666A4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Doprinosi za šume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8C40FA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62.049,16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A56E6B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89D02C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27.155,25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03DE88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43,76%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CEA3D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0518BD" w14:paraId="02BF3A81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326D16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6526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8FDC33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Ostali nespomenuti prihodi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FF906E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592,71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54A820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C29722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611,17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2CE671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103,11%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156E4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0518BD" w14:paraId="2681A131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3419E3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653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D20E0E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Komunalni doprinosi i naknade 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7211EA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8.137,01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262E40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C92AD5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10.487,96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7D288F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128,89%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E777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0518BD" w14:paraId="4EE7F7E8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1189ED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6531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E51A9E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Komunalni doprinosi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3B1136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104,77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104186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AE83A6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FD6C91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ADAC8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518BD" w:rsidRPr="000518BD" w14:paraId="45F0F243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1E6389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6532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DD59F6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Komunalne naknade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D0E805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8.032,24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61BD64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AB7A4D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10.487,96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7F8EB3" w14:textId="77777777" w:rsidR="000518BD" w:rsidRPr="000518BD" w:rsidRDefault="000518BD" w:rsidP="000518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130,57%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241BE" w14:textId="77777777" w:rsidR="000518BD" w:rsidRPr="000518BD" w:rsidRDefault="000518BD" w:rsidP="000518B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518BD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520F6E82" w14:textId="60C65CD9" w:rsidR="00102A00" w:rsidRPr="00000576" w:rsidRDefault="00102A00" w:rsidP="0045314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Unutar ove stavke najznačajniji prihod je </w:t>
      </w:r>
      <w:r w:rsidR="00450368" w:rsidRPr="00000576">
        <w:rPr>
          <w:rFonts w:cstheme="minorHAnsi"/>
          <w:sz w:val="22"/>
          <w:szCs w:val="22"/>
        </w:rPr>
        <w:t>prihod po posebnim propisima</w:t>
      </w:r>
      <w:r w:rsidR="009B702D" w:rsidRPr="00000576">
        <w:rPr>
          <w:rFonts w:cstheme="minorHAnsi"/>
          <w:sz w:val="22"/>
          <w:szCs w:val="22"/>
        </w:rPr>
        <w:t xml:space="preserve">, </w:t>
      </w:r>
      <w:r w:rsidR="00CF5739">
        <w:rPr>
          <w:rFonts w:cstheme="minorHAnsi"/>
          <w:sz w:val="22"/>
          <w:szCs w:val="22"/>
        </w:rPr>
        <w:t>a</w:t>
      </w:r>
      <w:r w:rsidR="008E2D5F">
        <w:rPr>
          <w:rFonts w:cstheme="minorHAnsi"/>
          <w:sz w:val="22"/>
          <w:szCs w:val="22"/>
        </w:rPr>
        <w:t xml:space="preserve"> </w:t>
      </w:r>
      <w:r w:rsidR="009B702D" w:rsidRPr="00000576">
        <w:rPr>
          <w:rFonts w:cstheme="minorHAnsi"/>
          <w:sz w:val="22"/>
          <w:szCs w:val="22"/>
        </w:rPr>
        <w:t>ostvaren je</w:t>
      </w:r>
      <w:r w:rsidRPr="00000576">
        <w:rPr>
          <w:rFonts w:cstheme="minorHAnsi"/>
          <w:sz w:val="22"/>
          <w:szCs w:val="22"/>
        </w:rPr>
        <w:t xml:space="preserve"> u iznosu od</w:t>
      </w:r>
      <w:r w:rsidR="00450368" w:rsidRPr="00000576">
        <w:rPr>
          <w:rFonts w:cstheme="minorHAnsi"/>
          <w:sz w:val="22"/>
          <w:szCs w:val="22"/>
        </w:rPr>
        <w:t xml:space="preserve"> </w:t>
      </w:r>
      <w:r w:rsidR="000518BD" w:rsidRPr="000518BD">
        <w:rPr>
          <w:rFonts w:cstheme="minorHAnsi"/>
          <w:sz w:val="22"/>
          <w:szCs w:val="22"/>
        </w:rPr>
        <w:t>27.766,42</w:t>
      </w:r>
      <w:r w:rsidR="00C80A30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>,</w:t>
      </w:r>
      <w:r w:rsidR="008E2D5F">
        <w:rPr>
          <w:rFonts w:cstheme="minorHAnsi"/>
          <w:sz w:val="22"/>
          <w:szCs w:val="22"/>
        </w:rPr>
        <w:t xml:space="preserve"> </w:t>
      </w:r>
      <w:r w:rsidR="00CF5739">
        <w:rPr>
          <w:rFonts w:cstheme="minorHAnsi"/>
          <w:sz w:val="22"/>
          <w:szCs w:val="22"/>
        </w:rPr>
        <w:t>te</w:t>
      </w:r>
      <w:r w:rsidR="008E2D5F">
        <w:rPr>
          <w:rFonts w:cstheme="minorHAnsi"/>
          <w:sz w:val="22"/>
          <w:szCs w:val="22"/>
        </w:rPr>
        <w:t xml:space="preserve"> </w:t>
      </w:r>
      <w:r w:rsidR="00CF5739">
        <w:rPr>
          <w:rFonts w:cstheme="minorHAnsi"/>
          <w:sz w:val="22"/>
          <w:szCs w:val="22"/>
        </w:rPr>
        <w:t xml:space="preserve">se </w:t>
      </w:r>
      <w:r w:rsidR="008E2D5F">
        <w:rPr>
          <w:rFonts w:cstheme="minorHAnsi"/>
          <w:sz w:val="22"/>
          <w:szCs w:val="22"/>
        </w:rPr>
        <w:t>gotovo u potpunosti odnosi na prihod od</w:t>
      </w:r>
      <w:r w:rsidR="009B702D" w:rsidRPr="00000576">
        <w:rPr>
          <w:rFonts w:cstheme="minorHAnsi"/>
          <w:sz w:val="22"/>
          <w:szCs w:val="22"/>
        </w:rPr>
        <w:t xml:space="preserve"> </w:t>
      </w:r>
      <w:r w:rsidR="008E2D5F">
        <w:rPr>
          <w:rFonts w:cstheme="minorHAnsi"/>
          <w:sz w:val="22"/>
          <w:szCs w:val="22"/>
        </w:rPr>
        <w:t>doprinosa za šume</w:t>
      </w:r>
      <w:r w:rsidR="000518BD">
        <w:rPr>
          <w:rFonts w:cstheme="minorHAnsi"/>
          <w:sz w:val="22"/>
          <w:szCs w:val="22"/>
        </w:rPr>
        <w:t>.</w:t>
      </w:r>
    </w:p>
    <w:p w14:paraId="20F4CBD3" w14:textId="2739B995" w:rsidR="00A86C0F" w:rsidRDefault="00450368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Prihodi </w:t>
      </w:r>
      <w:r w:rsidR="008E2D5F">
        <w:rPr>
          <w:rFonts w:cstheme="minorHAnsi"/>
          <w:sz w:val="22"/>
          <w:szCs w:val="22"/>
        </w:rPr>
        <w:t>od</w:t>
      </w:r>
      <w:r w:rsidRPr="00000576">
        <w:rPr>
          <w:rFonts w:cstheme="minorHAnsi"/>
          <w:sz w:val="22"/>
          <w:szCs w:val="22"/>
        </w:rPr>
        <w:t xml:space="preserve"> komunaln</w:t>
      </w:r>
      <w:r w:rsidR="008E2D5F">
        <w:rPr>
          <w:rFonts w:cstheme="minorHAnsi"/>
          <w:sz w:val="22"/>
          <w:szCs w:val="22"/>
        </w:rPr>
        <w:t>og</w:t>
      </w:r>
      <w:r w:rsidRPr="00000576">
        <w:rPr>
          <w:rFonts w:cstheme="minorHAnsi"/>
          <w:sz w:val="22"/>
          <w:szCs w:val="22"/>
        </w:rPr>
        <w:t xml:space="preserve"> doprinos</w:t>
      </w:r>
      <w:r w:rsidR="008E2D5F">
        <w:rPr>
          <w:rFonts w:cstheme="minorHAnsi"/>
          <w:sz w:val="22"/>
          <w:szCs w:val="22"/>
        </w:rPr>
        <w:t>a</w:t>
      </w:r>
      <w:r w:rsidRPr="00000576">
        <w:rPr>
          <w:rFonts w:cstheme="minorHAnsi"/>
          <w:sz w:val="22"/>
          <w:szCs w:val="22"/>
        </w:rPr>
        <w:t xml:space="preserve"> i naknade </w:t>
      </w:r>
      <w:r w:rsidR="00275734" w:rsidRPr="00000576">
        <w:rPr>
          <w:rFonts w:cstheme="minorHAnsi"/>
          <w:sz w:val="22"/>
          <w:szCs w:val="22"/>
        </w:rPr>
        <w:t xml:space="preserve">u </w:t>
      </w:r>
      <w:r w:rsidR="008E2D5F">
        <w:rPr>
          <w:rFonts w:cstheme="minorHAnsi"/>
          <w:sz w:val="22"/>
          <w:szCs w:val="22"/>
        </w:rPr>
        <w:t xml:space="preserve">prvoj polovici </w:t>
      </w:r>
      <w:r w:rsidR="00275734" w:rsidRPr="00000576">
        <w:rPr>
          <w:rFonts w:cstheme="minorHAnsi"/>
          <w:sz w:val="22"/>
          <w:szCs w:val="22"/>
        </w:rPr>
        <w:t>202</w:t>
      </w:r>
      <w:r w:rsidR="000518BD">
        <w:rPr>
          <w:rFonts w:cstheme="minorHAnsi"/>
          <w:sz w:val="22"/>
          <w:szCs w:val="22"/>
        </w:rPr>
        <w:t>4</w:t>
      </w:r>
      <w:r w:rsidR="00275734" w:rsidRPr="00000576">
        <w:rPr>
          <w:rFonts w:cstheme="minorHAnsi"/>
          <w:sz w:val="22"/>
          <w:szCs w:val="22"/>
        </w:rPr>
        <w:t xml:space="preserve">. godine ostvareni su u iznosu od </w:t>
      </w:r>
      <w:r w:rsidR="000518BD" w:rsidRPr="000518BD">
        <w:rPr>
          <w:rFonts w:cstheme="minorHAnsi"/>
          <w:sz w:val="22"/>
          <w:szCs w:val="22"/>
        </w:rPr>
        <w:t>10.487,96</w:t>
      </w:r>
      <w:r w:rsidR="00C80A30">
        <w:rPr>
          <w:rFonts w:cstheme="minorHAnsi"/>
          <w:sz w:val="22"/>
          <w:szCs w:val="22"/>
        </w:rPr>
        <w:t xml:space="preserve"> eura</w:t>
      </w:r>
      <w:r w:rsidR="00FD32B2" w:rsidRPr="00000576">
        <w:rPr>
          <w:rFonts w:cstheme="minorHAnsi"/>
          <w:sz w:val="22"/>
          <w:szCs w:val="22"/>
        </w:rPr>
        <w:t xml:space="preserve">, </w:t>
      </w:r>
      <w:r w:rsidR="00CB1A01">
        <w:rPr>
          <w:rFonts w:cstheme="minorHAnsi"/>
          <w:sz w:val="22"/>
          <w:szCs w:val="22"/>
        </w:rPr>
        <w:t>što predstavlja povećanje od 28,89% u odnosu na isto razdoblje prethodne godine</w:t>
      </w:r>
      <w:r w:rsidR="006B5E02" w:rsidRPr="00000576">
        <w:rPr>
          <w:rFonts w:cstheme="minorHAnsi"/>
          <w:sz w:val="22"/>
          <w:szCs w:val="22"/>
        </w:rPr>
        <w:t xml:space="preserve">. </w:t>
      </w:r>
    </w:p>
    <w:p w14:paraId="241E834F" w14:textId="77777777" w:rsidR="00E671D0" w:rsidRPr="00000576" w:rsidRDefault="00E671D0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54D6382" w14:textId="6FFB6A95" w:rsidR="00FD32B2" w:rsidRPr="0045314E" w:rsidRDefault="0045314E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0" w:name="_Toc144891688"/>
      <w:r w:rsidRPr="0045314E">
        <w:rPr>
          <w:b/>
          <w:caps w:val="0"/>
          <w:sz w:val="22"/>
        </w:rPr>
        <w:t>Kazne, upravne mjere i ostali prihodi</w:t>
      </w:r>
      <w:bookmarkEnd w:id="10"/>
      <w:r w:rsidRPr="0045314E">
        <w:rPr>
          <w:b/>
          <w:caps w:val="0"/>
          <w:sz w:val="22"/>
        </w:rPr>
        <w:t xml:space="preserve"> </w:t>
      </w:r>
    </w:p>
    <w:p w14:paraId="1956850B" w14:textId="01BEFAD8" w:rsidR="00250D2E" w:rsidRDefault="00250D2E" w:rsidP="00000576">
      <w:pPr>
        <w:spacing w:before="0" w:after="120" w:line="240" w:lineRule="auto"/>
        <w:jc w:val="both"/>
        <w:rPr>
          <w:rFonts w:cstheme="minorHAnsi"/>
          <w:bCs/>
          <w:sz w:val="22"/>
          <w:szCs w:val="22"/>
        </w:rPr>
      </w:pPr>
      <w:r w:rsidRPr="00000576">
        <w:rPr>
          <w:rFonts w:cstheme="minorHAnsi"/>
          <w:bCs/>
          <w:sz w:val="22"/>
          <w:szCs w:val="22"/>
        </w:rPr>
        <w:t xml:space="preserve">Kazne, </w:t>
      </w:r>
      <w:r w:rsidR="00CF5739">
        <w:rPr>
          <w:rFonts w:cstheme="minorHAnsi"/>
          <w:bCs/>
          <w:sz w:val="22"/>
          <w:szCs w:val="22"/>
        </w:rPr>
        <w:t>u</w:t>
      </w:r>
      <w:r w:rsidRPr="00000576">
        <w:rPr>
          <w:rFonts w:cstheme="minorHAnsi"/>
          <w:bCs/>
          <w:sz w:val="22"/>
          <w:szCs w:val="22"/>
        </w:rPr>
        <w:t xml:space="preserve">pravne mjere i ostali prihodi </w:t>
      </w:r>
      <w:r w:rsidR="00C80A30">
        <w:rPr>
          <w:rFonts w:cstheme="minorHAnsi"/>
          <w:bCs/>
          <w:sz w:val="22"/>
          <w:szCs w:val="22"/>
        </w:rPr>
        <w:t>nisu ostvareni u prvoj polovici 202</w:t>
      </w:r>
      <w:r w:rsidR="008748E9">
        <w:rPr>
          <w:rFonts w:cstheme="minorHAnsi"/>
          <w:bCs/>
          <w:sz w:val="22"/>
          <w:szCs w:val="22"/>
        </w:rPr>
        <w:t>4</w:t>
      </w:r>
      <w:r w:rsidR="00C80A30">
        <w:rPr>
          <w:rFonts w:cstheme="minorHAnsi"/>
          <w:bCs/>
          <w:sz w:val="22"/>
          <w:szCs w:val="22"/>
        </w:rPr>
        <w:t>. godine</w:t>
      </w:r>
      <w:r w:rsidR="00193062">
        <w:rPr>
          <w:rFonts w:cstheme="minorHAnsi"/>
          <w:bCs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4465"/>
        <w:gridCol w:w="1192"/>
        <w:gridCol w:w="1192"/>
        <w:gridCol w:w="1192"/>
        <w:gridCol w:w="849"/>
        <w:gridCol w:w="822"/>
      </w:tblGrid>
      <w:tr w:rsidR="008748E9" w:rsidRPr="008748E9" w14:paraId="73F2E4CC" w14:textId="77777777" w:rsidTr="007F5F23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5E7F9E4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F6A9B29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7CF4D23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6CEF802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D0D125C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861EA7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52AE3A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8748E9" w:rsidRPr="008748E9" w14:paraId="1B81C21F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8405E85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876EA42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505CCEE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A938FF7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A06D7D6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393162C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C638E7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8748E9" w:rsidRPr="008748E9" w14:paraId="2860BE3B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00EEAF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D19E18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AAD57C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CCDCED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3.500,00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4432A3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575614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E2651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</w:tr>
      <w:tr w:rsidR="008748E9" w:rsidRPr="008748E9" w14:paraId="55EBC95E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6E97E1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681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C5604B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Kazne i upravne mjere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0BD0A6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503B01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F4993E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A78702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34D5E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748E9" w:rsidRPr="008748E9" w14:paraId="0B11A398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98FA28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6819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C1B6A8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Ostale kazne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893AF9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A84AAF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45E873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F36B8D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1F005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748E9" w:rsidRPr="008748E9" w14:paraId="75E0FF25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BDC567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683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4AD4D4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Ostali prihodi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D3810F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0B178F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938D36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9D164D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D5EF6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748E9" w:rsidRPr="008748E9" w14:paraId="384B4D88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A93157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6831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D6BD09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Ostali prihodi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1EC15B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ECBE04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425FF8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686FA1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F58B8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7259127A" w14:textId="77777777" w:rsidR="00A86C0F" w:rsidRPr="00000576" w:rsidRDefault="00A86C0F" w:rsidP="00193062">
      <w:pPr>
        <w:spacing w:before="120" w:after="120" w:line="240" w:lineRule="auto"/>
        <w:jc w:val="both"/>
        <w:rPr>
          <w:rFonts w:cstheme="minorHAnsi"/>
          <w:b/>
          <w:sz w:val="22"/>
          <w:szCs w:val="22"/>
        </w:rPr>
      </w:pPr>
    </w:p>
    <w:p w14:paraId="54EF2687" w14:textId="6EC54ECA" w:rsidR="00305607" w:rsidRPr="0045314E" w:rsidRDefault="0045314E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1" w:name="_Toc144891689"/>
      <w:r w:rsidRPr="0045314E">
        <w:rPr>
          <w:b/>
          <w:caps w:val="0"/>
          <w:sz w:val="22"/>
        </w:rPr>
        <w:t>Prihodi od prodaje ne</w:t>
      </w:r>
      <w:r w:rsidR="00E671D0">
        <w:rPr>
          <w:b/>
          <w:caps w:val="0"/>
          <w:sz w:val="22"/>
        </w:rPr>
        <w:t>financijske</w:t>
      </w:r>
      <w:r w:rsidRPr="0045314E">
        <w:rPr>
          <w:b/>
          <w:caps w:val="0"/>
          <w:sz w:val="22"/>
        </w:rPr>
        <w:t xml:space="preserve"> imovine</w:t>
      </w:r>
      <w:bookmarkEnd w:id="11"/>
    </w:p>
    <w:p w14:paraId="22C78349" w14:textId="0B53987D" w:rsidR="001C3A02" w:rsidRDefault="0030560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Prihod od prodaje </w:t>
      </w:r>
      <w:r w:rsidR="00E671D0">
        <w:rPr>
          <w:rFonts w:cstheme="minorHAnsi"/>
          <w:sz w:val="22"/>
          <w:szCs w:val="22"/>
        </w:rPr>
        <w:t>nefinancijske</w:t>
      </w:r>
      <w:r w:rsidRPr="00000576">
        <w:rPr>
          <w:rFonts w:cstheme="minorHAnsi"/>
          <w:sz w:val="22"/>
          <w:szCs w:val="22"/>
        </w:rPr>
        <w:t xml:space="preserve"> imovine </w:t>
      </w:r>
      <w:r w:rsidR="008748E9">
        <w:rPr>
          <w:rFonts w:cstheme="minorHAnsi"/>
          <w:sz w:val="22"/>
          <w:szCs w:val="22"/>
        </w:rPr>
        <w:t xml:space="preserve">ostvaren je u iznosu od </w:t>
      </w:r>
      <w:r w:rsidRPr="00000576">
        <w:rPr>
          <w:rFonts w:cstheme="minorHAnsi"/>
          <w:sz w:val="22"/>
          <w:szCs w:val="22"/>
        </w:rPr>
        <w:t>se odnos</w:t>
      </w:r>
      <w:r w:rsidR="001C3A02" w:rsidRPr="00000576">
        <w:rPr>
          <w:rFonts w:cstheme="minorHAnsi"/>
          <w:sz w:val="22"/>
          <w:szCs w:val="22"/>
        </w:rPr>
        <w:t>i</w:t>
      </w:r>
      <w:r w:rsidR="004711B9" w:rsidRPr="00000576">
        <w:rPr>
          <w:rFonts w:cstheme="minorHAnsi"/>
          <w:sz w:val="22"/>
          <w:szCs w:val="22"/>
        </w:rPr>
        <w:t xml:space="preserve"> </w:t>
      </w:r>
      <w:r w:rsidR="005B3C55" w:rsidRPr="005B3C55">
        <w:rPr>
          <w:rFonts w:cstheme="minorHAnsi"/>
          <w:sz w:val="22"/>
          <w:szCs w:val="22"/>
        </w:rPr>
        <w:t>12.570,07</w:t>
      </w:r>
      <w:r w:rsidR="005B3C55">
        <w:rPr>
          <w:rFonts w:cstheme="minorHAnsi"/>
          <w:sz w:val="22"/>
          <w:szCs w:val="22"/>
        </w:rPr>
        <w:t xml:space="preserve"> eura što je višestruko povećanje u odnosu na isto razdoblje prošle godine.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4465"/>
        <w:gridCol w:w="1192"/>
        <w:gridCol w:w="1192"/>
        <w:gridCol w:w="1192"/>
        <w:gridCol w:w="849"/>
        <w:gridCol w:w="822"/>
      </w:tblGrid>
      <w:tr w:rsidR="008748E9" w:rsidRPr="008748E9" w14:paraId="44C43C03" w14:textId="77777777" w:rsidTr="007F5F23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F343D6D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2257E33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3675141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DA50594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ED3C5DF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D5AE44F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F5A4E9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8748E9" w:rsidRPr="008748E9" w14:paraId="78B23F6F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73F0FDD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95063C9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C10C8F8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AFABFB6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0999F6D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0861189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5B6EB1" w14:textId="77777777" w:rsidR="008748E9" w:rsidRPr="008748E9" w:rsidRDefault="008748E9" w:rsidP="008748E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8748E9" w:rsidRPr="008748E9" w14:paraId="4542F474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38876F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B0AA88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8AEAE3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3.861,81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61EB3F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818.400,00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8A8F33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12.570,07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A48407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325,50%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9B49E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1,54%</w:t>
            </w:r>
          </w:p>
        </w:tc>
      </w:tr>
      <w:tr w:rsidR="008748E9" w:rsidRPr="008748E9" w14:paraId="6992F0C4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A8E513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68E910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Prihodi od prodaje </w:t>
            </w:r>
            <w:proofErr w:type="spellStart"/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neproizvedene</w:t>
            </w:r>
            <w:proofErr w:type="spellEnd"/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C1D884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3.861,81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9C014B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58.400,00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EA5CB5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2.435,07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F36A03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63,06%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6E243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4,17%</w:t>
            </w:r>
          </w:p>
        </w:tc>
      </w:tr>
      <w:tr w:rsidR="008748E9" w:rsidRPr="008748E9" w14:paraId="2F432B6F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2B7388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711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FC0A90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materijalne imovine - prirodnih bogatstava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2E0E35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3.861,81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E3BD33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DE4556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2.435,07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16DF2B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63,06%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C2FD0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748E9" w:rsidRPr="008748E9" w14:paraId="64D1E5B8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E6183E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7111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3CD0FA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Zemljište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29C11D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3.861,81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E25B84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DD9298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2.435,07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4DC18A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63,06%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68967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748E9" w:rsidRPr="008748E9" w14:paraId="0F6EA2AE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66B19D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712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B8B1D8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nematerijalne imovine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8B9531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E75E08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0F1B97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A26306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D97A1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748E9" w:rsidRPr="008748E9" w14:paraId="27A2FEEC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63A09D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7126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1571BD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Ostala nematerijalna imovina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B93D2C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6C8ED7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B07705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D2B508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7F947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748E9" w:rsidRPr="008748E9" w14:paraId="6C134326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1A6D51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E07E24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prodaje proizvedene dugotrajne imovine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53EA05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458B79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760.000,00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0469A4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10.135,00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557365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8DA16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1,33%</w:t>
            </w:r>
          </w:p>
        </w:tc>
      </w:tr>
      <w:tr w:rsidR="008748E9" w:rsidRPr="008748E9" w14:paraId="3E5F797D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03FBBF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721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DD9A70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Prihodi od prodaje građevinskih objekata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7AA289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BA5888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E32F6C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10.135,00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9F3028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733EA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748E9" w:rsidRPr="008748E9" w14:paraId="0F99A868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C4964F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7211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C75619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Stambeni objekti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3EF198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C73F5E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D6C965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10.135,00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F91622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30CA9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748E9" w:rsidRPr="008748E9" w14:paraId="5A361F0E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DE5EAC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7212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E2AB80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Poslovni objekti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DA1E1F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C2762F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3CCAA2" w14:textId="77777777" w:rsidR="008748E9" w:rsidRPr="008748E9" w:rsidRDefault="008748E9" w:rsidP="008748E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366F5D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AF357" w14:textId="77777777" w:rsidR="008748E9" w:rsidRPr="008748E9" w:rsidRDefault="008748E9" w:rsidP="008748E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748E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0CC8E18B" w14:textId="0E8B4730" w:rsidR="008748E9" w:rsidRDefault="005B3C55" w:rsidP="005B3C55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Prihod od prodaje </w:t>
      </w:r>
      <w:proofErr w:type="spellStart"/>
      <w:r>
        <w:rPr>
          <w:rFonts w:cstheme="minorHAnsi"/>
          <w:sz w:val="22"/>
          <w:szCs w:val="22"/>
        </w:rPr>
        <w:t>neproizvedene</w:t>
      </w:r>
      <w:proofErr w:type="spellEnd"/>
      <w:r>
        <w:rPr>
          <w:rFonts w:cstheme="minorHAnsi"/>
          <w:sz w:val="22"/>
          <w:szCs w:val="22"/>
        </w:rPr>
        <w:t xml:space="preserve"> dugotrajne imovine ostvaren je u iznosu od 2.435,07 eura, a odnosi se u</w:t>
      </w:r>
      <w:r w:rsidRPr="00000576">
        <w:rPr>
          <w:rFonts w:cstheme="minorHAnsi"/>
          <w:sz w:val="22"/>
          <w:szCs w:val="22"/>
        </w:rPr>
        <w:t xml:space="preserve"> potpunosti na prihod od prodaje poljoprivrednog zemljišta</w:t>
      </w:r>
      <w:r>
        <w:rPr>
          <w:rFonts w:cstheme="minorHAnsi"/>
          <w:sz w:val="22"/>
          <w:szCs w:val="22"/>
        </w:rPr>
        <w:t>, te je 36,94% manji u odnosu na prethodnu godinu.</w:t>
      </w:r>
    </w:p>
    <w:p w14:paraId="1036B829" w14:textId="51DB31B6" w:rsidR="005B3C55" w:rsidRDefault="005B3C55" w:rsidP="005B3C55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5B3C55">
        <w:rPr>
          <w:rFonts w:cstheme="minorHAnsi"/>
          <w:sz w:val="22"/>
          <w:szCs w:val="22"/>
        </w:rPr>
        <w:t>Prihodi od prodaje proizvedene dugotrajne imovine</w:t>
      </w:r>
      <w:r>
        <w:rPr>
          <w:rFonts w:cstheme="minorHAnsi"/>
          <w:sz w:val="22"/>
          <w:szCs w:val="22"/>
        </w:rPr>
        <w:t xml:space="preserve"> ostvareni su u iznosu od 10.135,00 eura, a odnose se na prodaju stana u vlasništvu Općine.</w:t>
      </w:r>
    </w:p>
    <w:p w14:paraId="01D2CACE" w14:textId="619EFED1" w:rsidR="00E97F5D" w:rsidRPr="002324AF" w:rsidRDefault="002324AF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2" w:name="_Toc144891690"/>
      <w:r w:rsidRPr="002324AF">
        <w:rPr>
          <w:b/>
          <w:caps w:val="0"/>
          <w:sz w:val="22"/>
        </w:rPr>
        <w:lastRenderedPageBreak/>
        <w:t>Primici od financijske imovine i zaduživanja</w:t>
      </w:r>
      <w:bookmarkEnd w:id="12"/>
    </w:p>
    <w:p w14:paraId="003CF66E" w14:textId="74F6BB7D" w:rsidR="00102A1B" w:rsidRDefault="001561B9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Primici od </w:t>
      </w:r>
      <w:r w:rsidR="004B6EEF">
        <w:rPr>
          <w:rFonts w:cstheme="minorHAnsi"/>
          <w:sz w:val="22"/>
          <w:szCs w:val="22"/>
        </w:rPr>
        <w:t xml:space="preserve">financijske imovine i </w:t>
      </w:r>
      <w:r w:rsidRPr="00000576">
        <w:rPr>
          <w:rFonts w:cstheme="minorHAnsi"/>
          <w:sz w:val="22"/>
          <w:szCs w:val="22"/>
        </w:rPr>
        <w:t xml:space="preserve">zaduživanja </w:t>
      </w:r>
      <w:r w:rsidR="007F5F23">
        <w:rPr>
          <w:rFonts w:cstheme="minorHAnsi"/>
          <w:sz w:val="22"/>
          <w:szCs w:val="22"/>
        </w:rPr>
        <w:t>ostvareni su u iznosu od 10.000,00 eura, čime je realizirano 12,27% Plana za 2024. godinu</w:t>
      </w:r>
      <w:r w:rsidR="009D6FC0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4465"/>
        <w:gridCol w:w="1192"/>
        <w:gridCol w:w="1192"/>
        <w:gridCol w:w="1192"/>
        <w:gridCol w:w="849"/>
        <w:gridCol w:w="822"/>
      </w:tblGrid>
      <w:tr w:rsidR="005B3C55" w:rsidRPr="005B3C55" w14:paraId="37DAFEBB" w14:textId="77777777" w:rsidTr="007F5F23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0D50C7B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84CC4BE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42482D0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7BB64F1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B1C434D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64E9AF7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9BE633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5B3C55" w:rsidRPr="005B3C55" w14:paraId="3DDF7C7D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76B1B5B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3056095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056E488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08A1C49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D6BDF0E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E590150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94431C" w14:textId="77777777" w:rsidR="005B3C55" w:rsidRPr="005B3C55" w:rsidRDefault="005B3C55" w:rsidP="005B3C5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5B3C55" w:rsidRPr="005B3C55" w14:paraId="540B985B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B78FCB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14240E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Primici od financijske imovine i zaduživanja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B8079A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08629A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81.500,00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BBAEF8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345835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8A341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12,27%</w:t>
            </w:r>
          </w:p>
        </w:tc>
      </w:tr>
      <w:tr w:rsidR="005B3C55" w:rsidRPr="005B3C55" w14:paraId="78400310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E0BE2E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ECC12D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Primici od zaduživanja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BBCCB7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A95B81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81.500,00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28213C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8FA536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1B4C0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12,27%</w:t>
            </w:r>
          </w:p>
        </w:tc>
      </w:tr>
      <w:tr w:rsidR="005B3C55" w:rsidRPr="005B3C55" w14:paraId="6A5DE5F5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C26A6F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844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79F446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9CF401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498449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64A7A9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80A848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49A3D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B3C55" w:rsidRPr="005B3C55" w14:paraId="44FE6B84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4BD301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8443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EA8F87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Primljeni krediti od tuzemnih kreditnih institucija izvan javnog sektora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90F06D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648341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0C1F8C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22E38D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059B6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B3C55" w:rsidRPr="005B3C55" w14:paraId="239B32E3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6F7CF8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847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1A2404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Primljeni zajmovi od drugih razina vlasti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E472EA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193D19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49A381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1240EA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11B8F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B3C55" w:rsidRPr="005B3C55" w14:paraId="2E63918B" w14:textId="77777777" w:rsidTr="007F5F2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FC048F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8471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47B079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Primljeni zajmovi od državnog proračuna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49F995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F8AAFB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C467EE" w14:textId="77777777" w:rsidR="005B3C55" w:rsidRPr="005B3C55" w:rsidRDefault="005B3C55" w:rsidP="005B3C5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D3DBF8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A9002" w14:textId="77777777" w:rsidR="005B3C55" w:rsidRPr="005B3C55" w:rsidRDefault="005B3C55" w:rsidP="005B3C5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3C5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13944451" w14:textId="1B798066" w:rsidR="005B3C55" w:rsidRDefault="007F5F23" w:rsidP="007F5F23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7F5F23">
        <w:rPr>
          <w:rFonts w:cstheme="minorHAnsi"/>
          <w:sz w:val="22"/>
          <w:szCs w:val="22"/>
        </w:rPr>
        <w:t xml:space="preserve">Primici od zaduživanja odnose se na kratkoročni kredit u iznosu od </w:t>
      </w:r>
      <w:r>
        <w:rPr>
          <w:rFonts w:cstheme="minorHAnsi"/>
          <w:sz w:val="22"/>
          <w:szCs w:val="22"/>
        </w:rPr>
        <w:t>1</w:t>
      </w:r>
      <w:r w:rsidRPr="007F5F23">
        <w:rPr>
          <w:rFonts w:cstheme="minorHAnsi"/>
          <w:sz w:val="22"/>
          <w:szCs w:val="22"/>
        </w:rPr>
        <w:t>0.000,00 eura koji smo ugovorili radi premošćivanja nelikvidnosti prilikom provođenja kapitalnih projekta</w:t>
      </w:r>
      <w:r>
        <w:rPr>
          <w:rFonts w:cstheme="minorHAnsi"/>
          <w:sz w:val="22"/>
          <w:szCs w:val="22"/>
        </w:rPr>
        <w:t>.</w:t>
      </w:r>
    </w:p>
    <w:p w14:paraId="2B417F2A" w14:textId="77777777" w:rsidR="005B3C55" w:rsidRDefault="005B3C5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023087EB" w14:textId="77777777" w:rsidR="00E97F5D" w:rsidRPr="002324AF" w:rsidRDefault="00E97F5D" w:rsidP="00165728">
      <w:pPr>
        <w:pStyle w:val="Naslov2"/>
        <w:numPr>
          <w:ilvl w:val="1"/>
          <w:numId w:val="4"/>
        </w:numPr>
        <w:spacing w:before="0" w:after="120"/>
        <w:ind w:left="432"/>
        <w:rPr>
          <w:b/>
          <w:sz w:val="22"/>
        </w:rPr>
      </w:pPr>
      <w:bookmarkStart w:id="13" w:name="_Toc144891691"/>
      <w:r w:rsidRPr="002324AF">
        <w:rPr>
          <w:b/>
          <w:sz w:val="22"/>
        </w:rPr>
        <w:t>RASHODI I IZDACI</w:t>
      </w:r>
      <w:bookmarkEnd w:id="13"/>
    </w:p>
    <w:p w14:paraId="50E19D4F" w14:textId="6E9F29C0" w:rsidR="00451393" w:rsidRDefault="00A75277" w:rsidP="00451393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Rashode i izdatke </w:t>
      </w:r>
      <w:r w:rsidR="00451393" w:rsidRPr="00451393">
        <w:rPr>
          <w:rFonts w:cstheme="minorHAnsi"/>
          <w:sz w:val="22"/>
          <w:szCs w:val="22"/>
        </w:rPr>
        <w:t xml:space="preserve">dijelimo na rashode poslovanja koji su izvršeni u iznosu od </w:t>
      </w:r>
      <w:r w:rsidR="00F87BC8" w:rsidRPr="00F87BC8">
        <w:rPr>
          <w:rFonts w:cstheme="minorHAnsi"/>
          <w:sz w:val="22"/>
          <w:szCs w:val="22"/>
        </w:rPr>
        <w:t>194.532,42</w:t>
      </w:r>
      <w:r w:rsidR="00A4410C">
        <w:rPr>
          <w:rFonts w:cstheme="minorHAnsi"/>
          <w:sz w:val="22"/>
          <w:szCs w:val="22"/>
        </w:rPr>
        <w:t xml:space="preserve"> eura</w:t>
      </w:r>
      <w:r w:rsidR="00451393" w:rsidRPr="00451393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zatim</w:t>
      </w:r>
      <w:r w:rsidR="00451393" w:rsidRPr="00451393">
        <w:rPr>
          <w:rFonts w:cstheme="minorHAnsi"/>
          <w:sz w:val="22"/>
          <w:szCs w:val="22"/>
        </w:rPr>
        <w:t xml:space="preserve"> rashode za nabavu nefinancijske imovine koji iznose </w:t>
      </w:r>
      <w:r w:rsidR="00F87BC8" w:rsidRPr="00F87BC8">
        <w:rPr>
          <w:rFonts w:cstheme="minorHAnsi"/>
          <w:sz w:val="22"/>
          <w:szCs w:val="22"/>
        </w:rPr>
        <w:t>164.262,78</w:t>
      </w:r>
      <w:r w:rsidR="00A4410C">
        <w:rPr>
          <w:rFonts w:cstheme="minorHAnsi"/>
          <w:sz w:val="22"/>
          <w:szCs w:val="22"/>
        </w:rPr>
        <w:t xml:space="preserve"> eura</w:t>
      </w:r>
      <w:r w:rsidR="00451393" w:rsidRPr="00451393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 xml:space="preserve">te izdatke za financijsku imovinu i otplatu zajmova u iznosu od </w:t>
      </w:r>
      <w:r w:rsidR="00F87BC8" w:rsidRPr="00F87BC8">
        <w:rPr>
          <w:rFonts w:cstheme="minorHAnsi"/>
          <w:sz w:val="22"/>
          <w:szCs w:val="22"/>
        </w:rPr>
        <w:t>34.066,15</w:t>
      </w:r>
      <w:r w:rsidR="00F87BC8">
        <w:rPr>
          <w:rFonts w:cstheme="minorHAnsi"/>
          <w:sz w:val="22"/>
          <w:szCs w:val="22"/>
        </w:rPr>
        <w:t xml:space="preserve"> </w:t>
      </w:r>
      <w:r w:rsidR="00A4410C">
        <w:rPr>
          <w:rFonts w:cstheme="minorHAnsi"/>
          <w:sz w:val="22"/>
          <w:szCs w:val="22"/>
        </w:rPr>
        <w:t>eura</w:t>
      </w:r>
      <w:r>
        <w:rPr>
          <w:rFonts w:cstheme="minorHAnsi"/>
          <w:sz w:val="22"/>
          <w:szCs w:val="22"/>
        </w:rPr>
        <w:t>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6"/>
        <w:gridCol w:w="429"/>
        <w:gridCol w:w="4536"/>
        <w:gridCol w:w="1133"/>
        <w:gridCol w:w="1276"/>
        <w:gridCol w:w="1133"/>
        <w:gridCol w:w="851"/>
        <w:gridCol w:w="822"/>
      </w:tblGrid>
      <w:tr w:rsidR="00F87BC8" w:rsidRPr="00F87BC8" w14:paraId="392FD6BF" w14:textId="77777777" w:rsidTr="004550AA">
        <w:trPr>
          <w:trHeight w:val="227"/>
        </w:trPr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68D102" w14:textId="37BE51E0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C2F26E" w14:textId="1344C5E6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DB548E" w14:textId="77777777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647A952" w14:textId="77777777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637918B" w14:textId="77777777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CD76AC5" w14:textId="77777777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27E958" w14:textId="77777777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F87BC8" w:rsidRPr="00F87BC8" w14:paraId="2936E57D" w14:textId="77777777" w:rsidTr="004550AA">
        <w:trPr>
          <w:trHeight w:val="227"/>
        </w:trPr>
        <w:tc>
          <w:tcPr>
            <w:tcW w:w="3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9DDE88A" w14:textId="01876E7F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05F1821" w14:textId="60272C5D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B2D59DE" w14:textId="77777777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5DD761C" w14:textId="77777777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C08FDF1" w14:textId="77777777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002E470" w14:textId="77777777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026704" w14:textId="77777777" w:rsidR="00F87BC8" w:rsidRPr="00F87BC8" w:rsidRDefault="00F87BC8" w:rsidP="00F87BC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F87BC8" w:rsidRPr="00F87BC8" w14:paraId="28515663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0EA881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</w:t>
            </w:r>
          </w:p>
        </w:tc>
        <w:tc>
          <w:tcPr>
            <w:tcW w:w="23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F632A43" w14:textId="68814E3A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593E87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272.246,67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C0BA5A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689.000,00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B9EB89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194.532,42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8D9C45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71,45%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0D111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28,23%</w:t>
            </w:r>
          </w:p>
        </w:tc>
      </w:tr>
      <w:tr w:rsidR="00F87BC8" w:rsidRPr="00F87BC8" w14:paraId="0E949637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36BEC4E" w14:textId="4B64734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DAE106D" w14:textId="0EC3C766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31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554C17" w14:textId="3DB11637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Rashodi za zaposlene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5513CD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82.346,60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E58CA5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232.900,00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51625F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50.325,09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37947B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61,11%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7EE7B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21,61%</w:t>
            </w:r>
          </w:p>
        </w:tc>
      </w:tr>
      <w:tr w:rsidR="00F87BC8" w:rsidRPr="00F87BC8" w14:paraId="2618FA60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55371ED" w14:textId="67A7556A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77FF0A1" w14:textId="07C551A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4688E9" w14:textId="29B8F446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Materijalni rashodi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FF1734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145.936,13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2A0773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321.000,00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6C8D48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118.268,64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750071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81,04%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E9722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36,84%</w:t>
            </w:r>
          </w:p>
        </w:tc>
      </w:tr>
      <w:tr w:rsidR="00F87BC8" w:rsidRPr="00F87BC8" w14:paraId="2DF5D876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49F4A4" w14:textId="1984AF8F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C3F0A94" w14:textId="37DA181F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34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3B0128" w14:textId="423F2A1A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Financijski rashodi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A8439C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5.118,09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36769D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14.400,00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712EB1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6.601,39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19107C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128,98%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A2E7A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45,84%</w:t>
            </w:r>
          </w:p>
        </w:tc>
      </w:tr>
      <w:tr w:rsidR="00F87BC8" w:rsidRPr="00F87BC8" w14:paraId="4610F558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B7DEE0C" w14:textId="124FB195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3D1BEA2" w14:textId="44DC320B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35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2231A1" w14:textId="69858F27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Subvencije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D6BD36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25A4A6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2A3AA9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1.208,70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1954BD" w14:textId="77777777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4AD81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30,22%</w:t>
            </w:r>
          </w:p>
        </w:tc>
      </w:tr>
      <w:tr w:rsidR="00F87BC8" w:rsidRPr="00F87BC8" w14:paraId="05EC903D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3A115C0" w14:textId="165C5030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4D10C0D" w14:textId="4E78AACF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36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CC25FE" w14:textId="608B232B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DA4071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4.283,03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E6E740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60.400,00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423E91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4.911,54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6722FA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114,67%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5DD03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8,13%</w:t>
            </w:r>
          </w:p>
        </w:tc>
      </w:tr>
      <w:tr w:rsidR="00F87BC8" w:rsidRPr="00F87BC8" w14:paraId="7C828669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F6626F6" w14:textId="6E7CF79C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3FF8B88" w14:textId="063DA6BD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37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F18B0C" w14:textId="72C829FC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7049D8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10.750,82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CD87F6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25.700,00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E5AD73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8.355,06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3C00BF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77,72%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595DA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32,51%</w:t>
            </w:r>
          </w:p>
        </w:tc>
      </w:tr>
      <w:tr w:rsidR="00F87BC8" w:rsidRPr="00F87BC8" w14:paraId="1F4AF967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66B6F85" w14:textId="4B340206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1235A22" w14:textId="0632447B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38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A20114" w14:textId="7D9891EE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Ostali rashodi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104C36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23.812,00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487555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30.600,00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C9FCD1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4.862,00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F4CDF3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20,42%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D8599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15,89%</w:t>
            </w:r>
          </w:p>
        </w:tc>
      </w:tr>
      <w:tr w:rsidR="00F87BC8" w:rsidRPr="00F87BC8" w14:paraId="277CF053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4EAE73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</w:p>
        </w:tc>
        <w:tc>
          <w:tcPr>
            <w:tcW w:w="23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78736EF" w14:textId="5EB72CFB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5361C3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53.953,97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DA681C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1.475.100,00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D8ADCC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164.262,78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904AB7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304,45%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F45FE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11,14%</w:t>
            </w:r>
          </w:p>
        </w:tc>
      </w:tr>
      <w:tr w:rsidR="00F87BC8" w:rsidRPr="00F87BC8" w14:paraId="1501106F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F1C6BD4" w14:textId="2C7C33FA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B7009AA" w14:textId="11465538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41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618F64" w14:textId="7E4F189C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Rashodi za nabavu </w:t>
            </w:r>
            <w:proofErr w:type="spellStart"/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neproizvedene</w:t>
            </w:r>
            <w:proofErr w:type="spellEnd"/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C6AE0B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6.100,49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0FB71D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98.000,00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F09099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E83F35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DB762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0,00%</w:t>
            </w:r>
          </w:p>
        </w:tc>
      </w:tr>
      <w:tr w:rsidR="00F87BC8" w:rsidRPr="00F87BC8" w14:paraId="73C68724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4E02007" w14:textId="33E2CEAB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07F7CF2" w14:textId="523FF67F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42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39A51B" w14:textId="542F954D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7FBA41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25.296,06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1900FE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1.365.100,00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47DEA7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162.562,78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355FFE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642,64%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07D60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11,91%</w:t>
            </w:r>
          </w:p>
        </w:tc>
      </w:tr>
      <w:tr w:rsidR="00F87BC8" w:rsidRPr="00F87BC8" w14:paraId="4185A74F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23B63EB" w14:textId="1F1F4F96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B4FF5AC" w14:textId="7AE045F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45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750151" w14:textId="75E91ED0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C05D30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22.557,42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C3CF55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F5C200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1.700,00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2056D6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7,54%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02B9B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14,17%</w:t>
            </w:r>
          </w:p>
        </w:tc>
      </w:tr>
      <w:tr w:rsidR="00F87BC8" w:rsidRPr="00F87BC8" w14:paraId="4E74FB78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705EE9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23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4F5E8FC" w14:textId="6B37525C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F7EB4D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4.961,24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0AEE6B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638.900,00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696C0A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34.066,15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62AE6D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686,65%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4990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5,33%</w:t>
            </w:r>
          </w:p>
        </w:tc>
      </w:tr>
      <w:tr w:rsidR="00F87BC8" w:rsidRPr="00F87BC8" w14:paraId="44973B83" w14:textId="77777777" w:rsidTr="004550AA">
        <w:trPr>
          <w:trHeight w:val="22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E0027B" w14:textId="5D8C5CA9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8BD3057" w14:textId="6CCBAB3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54</w:t>
            </w:r>
          </w:p>
        </w:tc>
        <w:tc>
          <w:tcPr>
            <w:tcW w:w="2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CC2B5C" w14:textId="1C613865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Izdaci za otplatu glavnice primljenih kredita i zajmova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A839DE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4.961,24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C0E47F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638.900,00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0AB6B9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34.066,15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10C833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686,65%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D2312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5,33%</w:t>
            </w:r>
          </w:p>
        </w:tc>
      </w:tr>
      <w:tr w:rsidR="00F87BC8" w:rsidRPr="00F87BC8" w14:paraId="1838964F" w14:textId="77777777" w:rsidTr="004550AA">
        <w:trPr>
          <w:trHeight w:val="227"/>
        </w:trPr>
        <w:tc>
          <w:tcPr>
            <w:tcW w:w="2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8D2DF7C" w14:textId="6CF4558A" w:rsidR="00F87BC8" w:rsidRPr="00F87BC8" w:rsidRDefault="00F87BC8" w:rsidP="00F87BC8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 ( 3 + 4 + 5 )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4CD4A284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331.161,88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146B6F35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2.803.000,00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78960224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392.861,35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14:paraId="2DDD20A1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118,63%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399C94" w14:textId="77777777" w:rsidR="00F87BC8" w:rsidRPr="00F87BC8" w:rsidRDefault="00F87BC8" w:rsidP="00F87BC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87BC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14,02%</w:t>
            </w:r>
          </w:p>
        </w:tc>
      </w:tr>
    </w:tbl>
    <w:p w14:paraId="1119EA04" w14:textId="1F8F85B5" w:rsidR="00F87BC8" w:rsidRDefault="00F87BC8" w:rsidP="00543F71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F87BC8">
        <w:rPr>
          <w:rFonts w:cstheme="minorHAnsi"/>
          <w:sz w:val="22"/>
          <w:szCs w:val="22"/>
        </w:rPr>
        <w:t>U strukturi ukupno izvršenih rashoda i izdataka proračuna najveći je udjel rashoda</w:t>
      </w:r>
      <w:r w:rsidR="00543F71">
        <w:rPr>
          <w:rFonts w:cstheme="minorHAnsi"/>
          <w:sz w:val="22"/>
          <w:szCs w:val="22"/>
        </w:rPr>
        <w:t xml:space="preserve"> </w:t>
      </w:r>
      <w:r w:rsidRPr="00F87BC8">
        <w:rPr>
          <w:rFonts w:cstheme="minorHAnsi"/>
          <w:sz w:val="22"/>
          <w:szCs w:val="22"/>
        </w:rPr>
        <w:t xml:space="preserve">poslovanja s </w:t>
      </w:r>
      <w:r w:rsidR="00543F71">
        <w:rPr>
          <w:rFonts w:cstheme="minorHAnsi"/>
          <w:sz w:val="22"/>
          <w:szCs w:val="22"/>
        </w:rPr>
        <w:t>49,52</w:t>
      </w:r>
      <w:r w:rsidRPr="00F87BC8">
        <w:rPr>
          <w:rFonts w:cstheme="minorHAnsi"/>
          <w:sz w:val="22"/>
          <w:szCs w:val="22"/>
        </w:rPr>
        <w:t xml:space="preserve">%, slijede </w:t>
      </w:r>
      <w:r w:rsidR="00543F71" w:rsidRPr="00F87BC8">
        <w:rPr>
          <w:rFonts w:cstheme="minorHAnsi"/>
          <w:sz w:val="22"/>
          <w:szCs w:val="22"/>
        </w:rPr>
        <w:t xml:space="preserve">rashodi za nabavu nefinancijske imovine </w:t>
      </w:r>
      <w:r w:rsidRPr="00F87BC8">
        <w:rPr>
          <w:rFonts w:cstheme="minorHAnsi"/>
          <w:sz w:val="22"/>
          <w:szCs w:val="22"/>
        </w:rPr>
        <w:t xml:space="preserve">s udjelom od </w:t>
      </w:r>
      <w:r w:rsidR="00543F71">
        <w:rPr>
          <w:rFonts w:cstheme="minorHAnsi"/>
          <w:sz w:val="22"/>
          <w:szCs w:val="22"/>
        </w:rPr>
        <w:t>41,81</w:t>
      </w:r>
      <w:r w:rsidRPr="00F87BC8">
        <w:rPr>
          <w:rFonts w:cstheme="minorHAnsi"/>
          <w:sz w:val="22"/>
          <w:szCs w:val="22"/>
        </w:rPr>
        <w:t>%</w:t>
      </w:r>
      <w:r w:rsidR="00543F71">
        <w:rPr>
          <w:rFonts w:cstheme="minorHAnsi"/>
          <w:sz w:val="22"/>
          <w:szCs w:val="22"/>
        </w:rPr>
        <w:t>,</w:t>
      </w:r>
      <w:r w:rsidRPr="00F87BC8">
        <w:rPr>
          <w:rFonts w:cstheme="minorHAnsi"/>
          <w:sz w:val="22"/>
          <w:szCs w:val="22"/>
        </w:rPr>
        <w:t xml:space="preserve"> te</w:t>
      </w:r>
      <w:r w:rsidR="00543F71">
        <w:rPr>
          <w:rFonts w:cstheme="minorHAnsi"/>
          <w:sz w:val="22"/>
          <w:szCs w:val="22"/>
        </w:rPr>
        <w:t xml:space="preserve"> </w:t>
      </w:r>
      <w:r w:rsidR="00543F71" w:rsidRPr="00F87BC8">
        <w:rPr>
          <w:rFonts w:cstheme="minorHAnsi"/>
          <w:sz w:val="22"/>
          <w:szCs w:val="22"/>
        </w:rPr>
        <w:t xml:space="preserve">izdaci za financijsku imovinu i otplate zajmova </w:t>
      </w:r>
      <w:r w:rsidRPr="00F87BC8">
        <w:rPr>
          <w:rFonts w:cstheme="minorHAnsi"/>
          <w:sz w:val="22"/>
          <w:szCs w:val="22"/>
        </w:rPr>
        <w:t xml:space="preserve">s </w:t>
      </w:r>
      <w:r w:rsidR="00543F71">
        <w:rPr>
          <w:rFonts w:cstheme="minorHAnsi"/>
          <w:sz w:val="22"/>
          <w:szCs w:val="22"/>
        </w:rPr>
        <w:t>8,67</w:t>
      </w:r>
      <w:r w:rsidRPr="00F87BC8">
        <w:rPr>
          <w:rFonts w:cstheme="minorHAnsi"/>
          <w:sz w:val="22"/>
          <w:szCs w:val="22"/>
        </w:rPr>
        <w:t>% udjela.</w:t>
      </w:r>
    </w:p>
    <w:p w14:paraId="2AE5D089" w14:textId="77777777" w:rsidR="00A4410C" w:rsidRDefault="00A4410C" w:rsidP="00451393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6F4BBC2D" w14:textId="4B7410F2" w:rsidR="00780673" w:rsidRPr="002324AF" w:rsidRDefault="002324AF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4" w:name="_Toc144891692"/>
      <w:r w:rsidRPr="002324AF">
        <w:rPr>
          <w:b/>
          <w:caps w:val="0"/>
          <w:sz w:val="22"/>
        </w:rPr>
        <w:t>Rashodi za zaposlene</w:t>
      </w:r>
      <w:bookmarkEnd w:id="14"/>
    </w:p>
    <w:p w14:paraId="2E4061FE" w14:textId="5A74BC03" w:rsidR="005B60B0" w:rsidRDefault="00407245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Rashodi za zaposlene realizirani su u visini od </w:t>
      </w:r>
      <w:r w:rsidR="00093626" w:rsidRPr="00093626">
        <w:rPr>
          <w:rFonts w:cstheme="minorHAnsi"/>
          <w:sz w:val="22"/>
          <w:szCs w:val="22"/>
        </w:rPr>
        <w:t>50.325,09</w:t>
      </w:r>
      <w:r w:rsidR="00DD52B2">
        <w:rPr>
          <w:rFonts w:cstheme="minorHAnsi"/>
          <w:sz w:val="22"/>
          <w:szCs w:val="22"/>
        </w:rPr>
        <w:t xml:space="preserve"> eura</w:t>
      </w:r>
      <w:r w:rsidR="00D43500" w:rsidRPr="00000576">
        <w:rPr>
          <w:rFonts w:cstheme="minorHAnsi"/>
          <w:sz w:val="22"/>
          <w:szCs w:val="22"/>
        </w:rPr>
        <w:t>, a</w:t>
      </w:r>
      <w:r w:rsidRPr="00000576">
        <w:rPr>
          <w:rFonts w:cstheme="minorHAnsi"/>
          <w:sz w:val="22"/>
          <w:szCs w:val="22"/>
        </w:rPr>
        <w:t xml:space="preserve"> </w:t>
      </w:r>
      <w:r w:rsidR="00D43500" w:rsidRPr="00000576">
        <w:rPr>
          <w:rFonts w:cstheme="minorHAnsi"/>
          <w:sz w:val="22"/>
          <w:szCs w:val="22"/>
        </w:rPr>
        <w:t>o</w:t>
      </w:r>
      <w:r w:rsidRPr="00000576">
        <w:rPr>
          <w:rFonts w:cstheme="minorHAnsi"/>
          <w:sz w:val="22"/>
          <w:szCs w:val="22"/>
        </w:rPr>
        <w:t xml:space="preserve">buhvaćaju rashode za bruto plaće, za doprinose na plaće te ostale rashode za zaposlene u tijelima </w:t>
      </w:r>
      <w:r w:rsidR="00D43500" w:rsidRPr="00000576">
        <w:rPr>
          <w:rFonts w:cstheme="minorHAnsi"/>
          <w:sz w:val="22"/>
          <w:szCs w:val="22"/>
        </w:rPr>
        <w:t>Općine Levanjska Varoš.</w:t>
      </w:r>
      <w:r w:rsidR="00434207" w:rsidRPr="00000576">
        <w:rPr>
          <w:rFonts w:cstheme="minorHAnsi"/>
          <w:sz w:val="22"/>
          <w:szCs w:val="22"/>
        </w:rPr>
        <w:t xml:space="preserve">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4"/>
        <w:gridCol w:w="4507"/>
        <w:gridCol w:w="1133"/>
        <w:gridCol w:w="1133"/>
        <w:gridCol w:w="1278"/>
        <w:gridCol w:w="849"/>
        <w:gridCol w:w="822"/>
      </w:tblGrid>
      <w:tr w:rsidR="004550AA" w:rsidRPr="00093626" w14:paraId="1080258F" w14:textId="77777777" w:rsidTr="004550AA">
        <w:trPr>
          <w:trHeight w:val="22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B6F64B7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B779FDE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73CC3E5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133DD2A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DB87E34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9CE8AF3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B56211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4550AA" w:rsidRPr="00093626" w14:paraId="6806498A" w14:textId="77777777" w:rsidTr="004550AA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F2D8A56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120BF3D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0555143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41B69D4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AB7D8D5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A065618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21B414" w14:textId="77777777" w:rsidR="00093626" w:rsidRPr="00093626" w:rsidRDefault="00093626" w:rsidP="0009362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4550AA" w:rsidRPr="00093626" w14:paraId="2B96F95B" w14:textId="77777777" w:rsidTr="004550AA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403103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A51FEC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zaposlene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C686CA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82.346,60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2DB5FF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232.900,00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ABBD7A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50.325,09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90A086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61,11%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B1F27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21,61%</w:t>
            </w:r>
          </w:p>
        </w:tc>
      </w:tr>
      <w:tr w:rsidR="004550AA" w:rsidRPr="00093626" w14:paraId="27729AF5" w14:textId="77777777" w:rsidTr="004550AA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E8D7E5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311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AF631A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Plaće (Bruto)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79C066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69.482,07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D6EEBB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91686F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42.854,21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601E66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61,68%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B121C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093626" w14:paraId="001225E1" w14:textId="77777777" w:rsidTr="004550AA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AF7A39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3111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F0D903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Plaće za redovan rad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C22F1E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69.482,07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96625F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48B37F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42.854,21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1AF8F0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61,68%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CD4F2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093626" w14:paraId="1C4F9E2D" w14:textId="77777777" w:rsidTr="004550AA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43D3AC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312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1C4A65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5EF529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1.400,00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EFF219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277882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400,00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46DB61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28,57%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B155F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093626" w14:paraId="293D67F5" w14:textId="77777777" w:rsidTr="004550AA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73F4D2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3121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83F947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FEDC3B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1.400,00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538932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C2FAC4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400,00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1ADC24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28,57%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C07A0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093626" w14:paraId="017AEDC9" w14:textId="77777777" w:rsidTr="004550AA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C9EBE2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313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6B1AAF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Doprinosi na plaće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EBA6C1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11.464,53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692BA2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BBA085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7.070,88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09F0C5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61,68%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6A954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093626" w14:paraId="7D5D596E" w14:textId="77777777" w:rsidTr="004550AA">
        <w:trPr>
          <w:trHeight w:val="22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00EB91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3132</w:t>
            </w:r>
          </w:p>
        </w:tc>
        <w:tc>
          <w:tcPr>
            <w:tcW w:w="2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5A18AF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Doprinosi za obvezno zdravstveno osiguranje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71ABF2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11.464,53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DE2980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EACB06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7.070,88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7B6F83" w14:textId="77777777" w:rsidR="00093626" w:rsidRPr="00093626" w:rsidRDefault="00093626" w:rsidP="00093626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61,68%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1AF43" w14:textId="77777777" w:rsidR="00093626" w:rsidRPr="00093626" w:rsidRDefault="00093626" w:rsidP="00093626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93626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5BBD6916" w14:textId="457370C0" w:rsidR="00F45183" w:rsidRDefault="00F45183" w:rsidP="005E566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Rashodi za zaposlene su </w:t>
      </w:r>
      <w:r w:rsidR="00093626">
        <w:rPr>
          <w:rFonts w:cstheme="minorHAnsi"/>
          <w:sz w:val="22"/>
          <w:szCs w:val="22"/>
        </w:rPr>
        <w:t>smanjeni</w:t>
      </w:r>
      <w:r w:rsidR="00DD52B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za </w:t>
      </w:r>
      <w:r w:rsidR="00093626">
        <w:rPr>
          <w:rFonts w:cstheme="minorHAnsi"/>
          <w:sz w:val="22"/>
          <w:szCs w:val="22"/>
        </w:rPr>
        <w:t>38,89</w:t>
      </w:r>
      <w:r>
        <w:rPr>
          <w:rFonts w:cstheme="minorHAnsi"/>
          <w:sz w:val="22"/>
          <w:szCs w:val="22"/>
        </w:rPr>
        <w:t>% u odnosu na prethodn</w:t>
      </w:r>
      <w:r w:rsidR="004A2D96">
        <w:rPr>
          <w:rFonts w:cstheme="minorHAnsi"/>
          <w:sz w:val="22"/>
          <w:szCs w:val="22"/>
        </w:rPr>
        <w:t>u</w:t>
      </w:r>
      <w:r>
        <w:rPr>
          <w:rFonts w:cstheme="minorHAnsi"/>
          <w:sz w:val="22"/>
          <w:szCs w:val="22"/>
        </w:rPr>
        <w:t xml:space="preserve"> godin</w:t>
      </w:r>
      <w:r w:rsidR="004A2D96">
        <w:rPr>
          <w:rFonts w:cstheme="minorHAnsi"/>
          <w:sz w:val="22"/>
          <w:szCs w:val="22"/>
        </w:rPr>
        <w:t>u</w:t>
      </w:r>
      <w:r w:rsidR="00E31984">
        <w:rPr>
          <w:rFonts w:cstheme="minorHAnsi"/>
          <w:sz w:val="22"/>
          <w:szCs w:val="22"/>
        </w:rPr>
        <w:t xml:space="preserve"> jer </w:t>
      </w:r>
      <w:r w:rsidR="00093626">
        <w:rPr>
          <w:rFonts w:cstheme="minorHAnsi"/>
          <w:sz w:val="22"/>
          <w:szCs w:val="22"/>
        </w:rPr>
        <w:t>se projekt „Zaželi nije provodio u prvoj polovici ove godine.</w:t>
      </w:r>
    </w:p>
    <w:p w14:paraId="29B0BBF4" w14:textId="671CBDFA" w:rsidR="00D43500" w:rsidRPr="00000576" w:rsidRDefault="00DA590B" w:rsidP="00F45183">
      <w:pPr>
        <w:spacing w:before="0" w:after="0" w:line="240" w:lineRule="auto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P</w:t>
      </w:r>
      <w:r w:rsidR="00D43500" w:rsidRPr="00000576">
        <w:rPr>
          <w:rFonts w:cstheme="minorHAnsi"/>
          <w:sz w:val="22"/>
          <w:szCs w:val="22"/>
        </w:rPr>
        <w:t xml:space="preserve">laće za zaposlene u iznosu od </w:t>
      </w:r>
      <w:r w:rsidR="00A16785" w:rsidRPr="00A16785">
        <w:rPr>
          <w:rFonts w:cstheme="minorHAnsi"/>
          <w:sz w:val="22"/>
          <w:szCs w:val="22"/>
        </w:rPr>
        <w:t>42.854,21</w:t>
      </w:r>
      <w:r w:rsidR="00DF3B1A">
        <w:rPr>
          <w:rFonts w:cstheme="minorHAnsi"/>
          <w:sz w:val="22"/>
          <w:szCs w:val="22"/>
        </w:rPr>
        <w:t xml:space="preserve"> eura</w:t>
      </w:r>
      <w:r w:rsidR="00D43500" w:rsidRPr="00000576">
        <w:rPr>
          <w:rFonts w:cstheme="minorHAnsi"/>
          <w:sz w:val="22"/>
          <w:szCs w:val="22"/>
        </w:rPr>
        <w:t xml:space="preserve"> mogu </w:t>
      </w:r>
      <w:r w:rsidR="00DF3B1A">
        <w:rPr>
          <w:rFonts w:cstheme="minorHAnsi"/>
          <w:sz w:val="22"/>
          <w:szCs w:val="22"/>
        </w:rPr>
        <w:t xml:space="preserve">se </w:t>
      </w:r>
      <w:r w:rsidR="00434207" w:rsidRPr="00000576">
        <w:rPr>
          <w:rFonts w:cstheme="minorHAnsi"/>
          <w:sz w:val="22"/>
          <w:szCs w:val="22"/>
        </w:rPr>
        <w:t>raščlaniti</w:t>
      </w:r>
      <w:r w:rsidR="00D43500" w:rsidRPr="00000576">
        <w:rPr>
          <w:rFonts w:cstheme="minorHAnsi"/>
          <w:sz w:val="22"/>
          <w:szCs w:val="22"/>
        </w:rPr>
        <w:t xml:space="preserve"> na:</w:t>
      </w:r>
    </w:p>
    <w:p w14:paraId="32D5EFC5" w14:textId="24EAA4B9" w:rsidR="004A2D96" w:rsidRDefault="004A2D96" w:rsidP="004A2D96">
      <w:pPr>
        <w:pStyle w:val="Odlomakpopisa"/>
        <w:numPr>
          <w:ilvl w:val="0"/>
          <w:numId w:val="2"/>
        </w:numPr>
        <w:tabs>
          <w:tab w:val="right" w:leader="dot" w:pos="10466"/>
        </w:tabs>
        <w:spacing w:before="0" w:after="0" w:line="240" w:lineRule="auto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Plaće dužnosnika</w:t>
      </w:r>
      <w:r>
        <w:rPr>
          <w:rFonts w:cstheme="minorHAnsi"/>
          <w:sz w:val="22"/>
          <w:szCs w:val="22"/>
        </w:rPr>
        <w:tab/>
      </w:r>
      <w:r w:rsidR="00A16785" w:rsidRPr="00A16785">
        <w:rPr>
          <w:rFonts w:cstheme="minorHAnsi"/>
          <w:sz w:val="22"/>
          <w:szCs w:val="22"/>
        </w:rPr>
        <w:t>11.932,50</w:t>
      </w:r>
    </w:p>
    <w:p w14:paraId="7C275AE6" w14:textId="5F3571B3" w:rsidR="00D43500" w:rsidRPr="005B60B0" w:rsidRDefault="00D43500" w:rsidP="00A16785">
      <w:pPr>
        <w:pStyle w:val="Odlomakpopisa"/>
        <w:numPr>
          <w:ilvl w:val="0"/>
          <w:numId w:val="2"/>
        </w:numPr>
        <w:tabs>
          <w:tab w:val="right" w:leader="dot" w:pos="10466"/>
        </w:tabs>
        <w:spacing w:before="0" w:after="120" w:line="240" w:lineRule="auto"/>
        <w:contextualSpacing w:val="0"/>
        <w:rPr>
          <w:rFonts w:cstheme="minorHAnsi"/>
          <w:sz w:val="22"/>
          <w:szCs w:val="22"/>
        </w:rPr>
      </w:pPr>
      <w:r w:rsidRPr="005B60B0">
        <w:rPr>
          <w:rFonts w:cstheme="minorHAnsi"/>
          <w:sz w:val="22"/>
          <w:szCs w:val="22"/>
        </w:rPr>
        <w:t xml:space="preserve">Plaće za zaposlene u </w:t>
      </w:r>
      <w:r w:rsidR="00DF3B1A">
        <w:rPr>
          <w:rFonts w:cstheme="minorHAnsi"/>
          <w:sz w:val="22"/>
          <w:szCs w:val="22"/>
        </w:rPr>
        <w:t>upravnim tijelima</w:t>
      </w:r>
      <w:r w:rsidRPr="005B60B0">
        <w:rPr>
          <w:rFonts w:cstheme="minorHAnsi"/>
          <w:sz w:val="22"/>
          <w:szCs w:val="22"/>
        </w:rPr>
        <w:tab/>
      </w:r>
      <w:r w:rsidR="00A16785" w:rsidRPr="00A16785">
        <w:rPr>
          <w:rFonts w:cstheme="minorHAnsi"/>
          <w:sz w:val="22"/>
          <w:szCs w:val="22"/>
        </w:rPr>
        <w:t>30.921,71</w:t>
      </w:r>
    </w:p>
    <w:p w14:paraId="43E7E6BA" w14:textId="7E2BD1D4" w:rsidR="00434207" w:rsidRPr="00E7385C" w:rsidRDefault="0043420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E7385C">
        <w:rPr>
          <w:rFonts w:cstheme="minorHAnsi"/>
          <w:sz w:val="22"/>
          <w:szCs w:val="22"/>
        </w:rPr>
        <w:t xml:space="preserve">Ostali rashodi za zaposlene u iznosu od </w:t>
      </w:r>
      <w:r w:rsidR="00DF3B1A">
        <w:rPr>
          <w:rFonts w:cstheme="minorHAnsi"/>
          <w:sz w:val="22"/>
          <w:szCs w:val="22"/>
        </w:rPr>
        <w:t>400</w:t>
      </w:r>
      <w:r w:rsidR="00781082" w:rsidRPr="00781082">
        <w:rPr>
          <w:rFonts w:cstheme="minorHAnsi"/>
          <w:sz w:val="22"/>
          <w:szCs w:val="22"/>
        </w:rPr>
        <w:t>,00</w:t>
      </w:r>
      <w:r w:rsidRPr="00E7385C">
        <w:rPr>
          <w:rFonts w:cstheme="minorHAnsi"/>
          <w:sz w:val="22"/>
          <w:szCs w:val="22"/>
        </w:rPr>
        <w:t xml:space="preserve"> </w:t>
      </w:r>
      <w:r w:rsidR="00DF3B1A">
        <w:rPr>
          <w:rFonts w:cstheme="minorHAnsi"/>
          <w:sz w:val="22"/>
          <w:szCs w:val="22"/>
        </w:rPr>
        <w:t>eura</w:t>
      </w:r>
      <w:r w:rsidRPr="00E7385C">
        <w:rPr>
          <w:rFonts w:cstheme="minorHAnsi"/>
          <w:sz w:val="22"/>
          <w:szCs w:val="22"/>
        </w:rPr>
        <w:t xml:space="preserve"> odnose se na</w:t>
      </w:r>
      <w:r w:rsidR="00C83807" w:rsidRPr="00E7385C">
        <w:rPr>
          <w:rFonts w:cstheme="minorHAnsi"/>
          <w:sz w:val="22"/>
          <w:szCs w:val="22"/>
        </w:rPr>
        <w:t xml:space="preserve"> </w:t>
      </w:r>
      <w:proofErr w:type="spellStart"/>
      <w:r w:rsidR="00781082" w:rsidRPr="00781082">
        <w:rPr>
          <w:rFonts w:cstheme="minorHAnsi"/>
          <w:sz w:val="22"/>
          <w:szCs w:val="22"/>
        </w:rPr>
        <w:t>uskrsnice</w:t>
      </w:r>
      <w:proofErr w:type="spellEnd"/>
      <w:r w:rsidR="00781082" w:rsidRPr="00781082">
        <w:rPr>
          <w:rFonts w:cstheme="minorHAnsi"/>
          <w:sz w:val="22"/>
          <w:szCs w:val="22"/>
        </w:rPr>
        <w:t xml:space="preserve"> za zaposlene u Općinskoj upravi</w:t>
      </w:r>
      <w:r w:rsidR="005C456D">
        <w:rPr>
          <w:rFonts w:cstheme="minorHAnsi"/>
          <w:sz w:val="22"/>
          <w:szCs w:val="22"/>
        </w:rPr>
        <w:t>.</w:t>
      </w:r>
    </w:p>
    <w:p w14:paraId="328B3F05" w14:textId="06E20CCA" w:rsidR="00EA7D3F" w:rsidRDefault="00EA7D3F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F45183">
        <w:rPr>
          <w:rFonts w:cstheme="minorHAnsi"/>
          <w:sz w:val="22"/>
          <w:szCs w:val="22"/>
        </w:rPr>
        <w:t xml:space="preserve">Doprinosi na plaće realizirani su iznosu od </w:t>
      </w:r>
      <w:r w:rsidR="004550AA">
        <w:rPr>
          <w:rFonts w:cstheme="minorHAnsi"/>
          <w:sz w:val="22"/>
          <w:szCs w:val="22"/>
        </w:rPr>
        <w:t>7.070,88</w:t>
      </w:r>
      <w:r w:rsidR="005C456D">
        <w:rPr>
          <w:rFonts w:cstheme="minorHAnsi"/>
          <w:sz w:val="22"/>
          <w:szCs w:val="22"/>
        </w:rPr>
        <w:t xml:space="preserve"> eura</w:t>
      </w:r>
      <w:r w:rsidRPr="00F45183">
        <w:rPr>
          <w:rFonts w:cstheme="minorHAnsi"/>
          <w:sz w:val="22"/>
          <w:szCs w:val="22"/>
        </w:rPr>
        <w:t>, a</w:t>
      </w:r>
      <w:r w:rsidR="009C629F" w:rsidRPr="00F45183">
        <w:rPr>
          <w:rFonts w:cstheme="minorHAnsi"/>
          <w:sz w:val="22"/>
          <w:szCs w:val="22"/>
        </w:rPr>
        <w:t xml:space="preserve"> </w:t>
      </w:r>
      <w:r w:rsidRPr="00F45183">
        <w:rPr>
          <w:rFonts w:cstheme="minorHAnsi"/>
          <w:sz w:val="22"/>
          <w:szCs w:val="22"/>
        </w:rPr>
        <w:t>odnose se na doprinose za</w:t>
      </w:r>
      <w:r w:rsidR="00C83807" w:rsidRPr="00F45183">
        <w:rPr>
          <w:rFonts w:cstheme="minorHAnsi"/>
          <w:sz w:val="22"/>
          <w:szCs w:val="22"/>
        </w:rPr>
        <w:t xml:space="preserve"> zdravstveno osiguranje</w:t>
      </w:r>
      <w:r w:rsidRPr="00F45183">
        <w:rPr>
          <w:rFonts w:cstheme="minorHAnsi"/>
          <w:sz w:val="22"/>
          <w:szCs w:val="22"/>
        </w:rPr>
        <w:t xml:space="preserve">. Također se raščlanjuju na zaposlene </w:t>
      </w:r>
      <w:r w:rsidR="00781082">
        <w:rPr>
          <w:rFonts w:cstheme="minorHAnsi"/>
          <w:sz w:val="22"/>
          <w:szCs w:val="22"/>
        </w:rPr>
        <w:t>dužnosnike</w:t>
      </w:r>
      <w:r w:rsidR="004550AA">
        <w:rPr>
          <w:rFonts w:cstheme="minorHAnsi"/>
          <w:sz w:val="22"/>
          <w:szCs w:val="22"/>
        </w:rPr>
        <w:t xml:space="preserve"> i</w:t>
      </w:r>
      <w:r w:rsidR="00781082">
        <w:rPr>
          <w:rFonts w:cstheme="minorHAnsi"/>
          <w:sz w:val="22"/>
          <w:szCs w:val="22"/>
        </w:rPr>
        <w:t xml:space="preserve"> službenike </w:t>
      </w:r>
      <w:r w:rsidRPr="00F45183">
        <w:rPr>
          <w:rFonts w:cstheme="minorHAnsi"/>
          <w:sz w:val="22"/>
          <w:szCs w:val="22"/>
        </w:rPr>
        <w:t>u upravnim tijelima</w:t>
      </w:r>
      <w:r w:rsidR="004550AA">
        <w:rPr>
          <w:rFonts w:cstheme="minorHAnsi"/>
          <w:sz w:val="22"/>
          <w:szCs w:val="22"/>
        </w:rPr>
        <w:t>.</w:t>
      </w:r>
    </w:p>
    <w:p w14:paraId="66637528" w14:textId="77777777" w:rsidR="00781082" w:rsidRPr="00F45183" w:rsidRDefault="0078108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6E70CF8F" w14:textId="42726CE7" w:rsidR="00D43500" w:rsidRPr="00F45183" w:rsidRDefault="00F45183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5" w:name="_Toc144891693"/>
      <w:r w:rsidRPr="00F45183">
        <w:rPr>
          <w:b/>
          <w:caps w:val="0"/>
          <w:sz w:val="22"/>
        </w:rPr>
        <w:t>Materijalni rashodi</w:t>
      </w:r>
      <w:bookmarkEnd w:id="15"/>
    </w:p>
    <w:p w14:paraId="78D791F0" w14:textId="3A2E4DB3" w:rsidR="00597147" w:rsidRPr="00797DD3" w:rsidRDefault="0059714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97DD3">
        <w:rPr>
          <w:rFonts w:cstheme="minorHAnsi"/>
          <w:sz w:val="22"/>
          <w:szCs w:val="22"/>
        </w:rPr>
        <w:t xml:space="preserve">Materijalni rashodi ostvareni su u iznosu od </w:t>
      </w:r>
      <w:r w:rsidR="00766CBB" w:rsidRPr="00766CBB">
        <w:rPr>
          <w:rFonts w:cstheme="minorHAnsi"/>
          <w:sz w:val="22"/>
          <w:szCs w:val="22"/>
        </w:rPr>
        <w:t>118.268,64</w:t>
      </w:r>
      <w:r w:rsidR="00797DD3">
        <w:rPr>
          <w:rFonts w:cstheme="minorHAnsi"/>
          <w:sz w:val="22"/>
          <w:szCs w:val="22"/>
        </w:rPr>
        <w:t xml:space="preserve"> eura</w:t>
      </w:r>
      <w:r w:rsidRPr="00797DD3">
        <w:rPr>
          <w:rFonts w:cstheme="minorHAnsi"/>
          <w:sz w:val="22"/>
          <w:szCs w:val="22"/>
        </w:rPr>
        <w:t xml:space="preserve"> i obuhvaćaju naknade troškova zaposlenima i osobama izvan radnog odnosa, rashode za materijal</w:t>
      </w:r>
      <w:r w:rsidR="004C4052" w:rsidRPr="00797DD3">
        <w:rPr>
          <w:rFonts w:cstheme="minorHAnsi"/>
          <w:sz w:val="22"/>
          <w:szCs w:val="22"/>
        </w:rPr>
        <w:t xml:space="preserve"> i</w:t>
      </w:r>
      <w:r w:rsidRPr="00797DD3">
        <w:rPr>
          <w:rFonts w:cstheme="minorHAnsi"/>
          <w:sz w:val="22"/>
          <w:szCs w:val="22"/>
        </w:rPr>
        <w:t xml:space="preserve"> energij</w:t>
      </w:r>
      <w:r w:rsidR="004C4052" w:rsidRPr="00797DD3">
        <w:rPr>
          <w:rFonts w:cstheme="minorHAnsi"/>
          <w:sz w:val="22"/>
          <w:szCs w:val="22"/>
        </w:rPr>
        <w:t>u, rashod</w:t>
      </w:r>
      <w:r w:rsidR="00C37143" w:rsidRPr="00797DD3">
        <w:rPr>
          <w:rFonts w:cstheme="minorHAnsi"/>
          <w:sz w:val="22"/>
          <w:szCs w:val="22"/>
        </w:rPr>
        <w:t>e</w:t>
      </w:r>
      <w:r w:rsidR="004C4052" w:rsidRPr="00797DD3">
        <w:rPr>
          <w:rFonts w:cstheme="minorHAnsi"/>
          <w:sz w:val="22"/>
          <w:szCs w:val="22"/>
        </w:rPr>
        <w:t xml:space="preserve"> za usluge</w:t>
      </w:r>
      <w:r w:rsidR="00C37143" w:rsidRPr="00797DD3">
        <w:rPr>
          <w:rFonts w:cstheme="minorHAnsi"/>
          <w:sz w:val="22"/>
          <w:szCs w:val="22"/>
        </w:rPr>
        <w:t xml:space="preserve"> i ostale nespomenute rashode</w:t>
      </w:r>
      <w:r w:rsidR="004C4052" w:rsidRPr="00797DD3">
        <w:rPr>
          <w:rFonts w:cstheme="minorHAnsi"/>
          <w:sz w:val="22"/>
          <w:szCs w:val="22"/>
        </w:rPr>
        <w:t>.</w:t>
      </w:r>
      <w:r w:rsidRPr="00797DD3">
        <w:rPr>
          <w:rFonts w:cstheme="minorHAnsi"/>
          <w:sz w:val="22"/>
          <w:szCs w:val="22"/>
        </w:rPr>
        <w:t xml:space="preserve"> </w:t>
      </w:r>
    </w:p>
    <w:p w14:paraId="5D5556D3" w14:textId="1DEF412A" w:rsidR="00781082" w:rsidRDefault="0036018D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797DD3">
        <w:rPr>
          <w:rFonts w:cstheme="minorHAnsi"/>
          <w:sz w:val="22"/>
          <w:szCs w:val="22"/>
        </w:rPr>
        <w:t xml:space="preserve">U usporedbi s prethodnom godinom </w:t>
      </w:r>
      <w:r w:rsidR="00597147" w:rsidRPr="00797DD3">
        <w:rPr>
          <w:rFonts w:cstheme="minorHAnsi"/>
          <w:sz w:val="22"/>
          <w:szCs w:val="22"/>
        </w:rPr>
        <w:t xml:space="preserve">materijalni rashodi su </w:t>
      </w:r>
      <w:r w:rsidR="00797DD3">
        <w:rPr>
          <w:rFonts w:cstheme="minorHAnsi"/>
          <w:sz w:val="22"/>
          <w:szCs w:val="22"/>
        </w:rPr>
        <w:t>manji</w:t>
      </w:r>
      <w:r w:rsidRPr="00797DD3">
        <w:rPr>
          <w:rFonts w:cstheme="minorHAnsi"/>
          <w:sz w:val="22"/>
          <w:szCs w:val="22"/>
        </w:rPr>
        <w:t xml:space="preserve"> za </w:t>
      </w:r>
      <w:r w:rsidR="00766CBB">
        <w:rPr>
          <w:rFonts w:cstheme="minorHAnsi"/>
          <w:sz w:val="22"/>
          <w:szCs w:val="22"/>
        </w:rPr>
        <w:t>18,96</w:t>
      </w:r>
      <w:r w:rsidR="00C37143" w:rsidRPr="00797DD3">
        <w:rPr>
          <w:rFonts w:cstheme="minorHAnsi"/>
          <w:sz w:val="22"/>
          <w:szCs w:val="22"/>
        </w:rPr>
        <w:t xml:space="preserve">%, a realizirano je </w:t>
      </w:r>
      <w:r w:rsidR="00766CBB">
        <w:rPr>
          <w:rFonts w:cstheme="minorHAnsi"/>
          <w:sz w:val="22"/>
          <w:szCs w:val="22"/>
        </w:rPr>
        <w:t>36,84</w:t>
      </w:r>
      <w:r w:rsidR="00C37143" w:rsidRPr="00797DD3">
        <w:rPr>
          <w:rFonts w:cstheme="minorHAnsi"/>
          <w:sz w:val="22"/>
          <w:szCs w:val="22"/>
        </w:rPr>
        <w:t>% Plana.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4495"/>
        <w:gridCol w:w="1134"/>
        <w:gridCol w:w="1133"/>
        <w:gridCol w:w="1278"/>
        <w:gridCol w:w="849"/>
        <w:gridCol w:w="822"/>
      </w:tblGrid>
      <w:tr w:rsidR="004550AA" w:rsidRPr="004550AA" w14:paraId="6572C15C" w14:textId="77777777" w:rsidTr="004550AA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31396DC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18F4F50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E27E49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913A8A3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2394132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986D5AF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C06F19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4550AA" w:rsidRPr="004550AA" w14:paraId="05B4A998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E70D7DC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A161346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BEE441D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EB7E4A7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FCBA586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299CAC5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0486CF" w14:textId="77777777" w:rsidR="004550AA" w:rsidRPr="004550AA" w:rsidRDefault="004550AA" w:rsidP="004550A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4550AA" w:rsidRPr="004550AA" w14:paraId="28868AFD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DAD008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6BBC5E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Materijalni rashodi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26268E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145.936,13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A20F91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321.000,00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3C22CA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118.268,64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0F758D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81,04%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D77B6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36,84%</w:t>
            </w:r>
          </w:p>
        </w:tc>
      </w:tr>
      <w:tr w:rsidR="004550AA" w:rsidRPr="004550AA" w14:paraId="121114FE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8EC7C7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92FC28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Naknade troškova zaposlenima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E03C5C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5.151,32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78673F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1D9CD9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5.362,37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171D2D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104,10%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73A36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493FB5B3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5F12EA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3211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656F27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Službena putovanja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660455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667,20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C1108F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A53C6D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727,00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0C12D0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108,96%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A103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328EE46E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2A640D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3212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4D2042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Naknade za prijevoz, za rad na terenu i odvojeni život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DB8681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2.000,93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C3C687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A3DD58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1.965,07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6F4A91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98,21%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C6F18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30CE2CFD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DE1B6A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3213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CE87FA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Stručno usavršavanje zaposlenika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434CD3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E70DAC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046337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5F05C2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C8F9D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20C83356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A0AD2A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3214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201A7E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Ostale naknade troškova zaposlenima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A545E3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2.483,19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7707CD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734ADF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2.670,30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0C092E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107,54%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8FE15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2D8279F8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663D90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54968D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2085E0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15.070,81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BCB65E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AD25BE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16" w:name="_Hlk176246610"/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8.243,65</w:t>
            </w:r>
            <w:bookmarkEnd w:id="16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8DAB95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54,70%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C70DC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630FAE6F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8DF4F7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3221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FB615A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D28752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6.856,40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9E40FB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2FE87A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1.369,88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F65D92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19,98%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08E4A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41B612BD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A3B469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3223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4D030E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Energija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7ADA92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8.007,52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1FEC82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C0FD0F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6.782,69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B90D60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84,70%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30F7D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07ED3BD2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F9BED2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3225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1A2FD2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Sitni inventar i auto gume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A9413C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206,89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389E1C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166B6B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91,08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23BA25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44,02%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8E1DA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3FFB62DD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1C8FAD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3227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C0B603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Službena, radna i zaštitna odjeća i obuća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138CF3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13036C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77021B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987E4E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24E87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2515ABA8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0C9F9D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541005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Rashodi za usluge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F75C51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118.508,31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9D7AB9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79E93F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17" w:name="_Hlk176246707"/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100.852,43</w:t>
            </w:r>
            <w:bookmarkEnd w:id="17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F5C7CA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85,10%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E692C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342CDFD8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670A72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3231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089D04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Usluge telefona, pošte i prijevoza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7C87FC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1.583,93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7986BE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3309B4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3.279,81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0820B2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207,07%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B327E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22A785BB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9433AA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3232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8EE490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E3400F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65.533,11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1D2777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7FB38E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51.327,59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1838B0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78,32%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37334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1B29C8E1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C229BC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3233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C7B9C3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2E249D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2.613,60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3F6C69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2EB5A9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2.740,55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FBF31A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104,86%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A1D0F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08C48ED9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0C1FF4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3234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32A0AB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4A8F78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21.476,15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6ED625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1A2454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19.482,93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F09105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90,72%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832DF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6F5E3743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A8DBCB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3236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04E718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Zdravstvene i veterinarske usluge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22505E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721F63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2AC88C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5C6372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FFC49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37B7CE36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7AEEC4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3237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269E8E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Intelektualne i osobne usluge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9DA71E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22.865,55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211B90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2B5234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19.088,34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FD8E7F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83,48%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096D9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48A06DB1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6EBD1E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3238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59F706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Računalne usluge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6673D4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4.114,15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764CE8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711F4D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4.221,84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CA773B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102,62%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CFD5A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68ADB1B6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9CECDA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3239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3740F6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Ostale usluge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C3E813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321,82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AAD80C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2F3892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711,37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9A2EAE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221,05%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D8395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6E7A326C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877100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06FDB1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3F5055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7.205,69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F9AF56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C843A6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3.810,19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D7DCC4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52,88%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D4483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14D2D0D4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ED5B75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3291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DA8C05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3A609A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98C40B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A5BA81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F0BEE7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88E2B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4F5BBBE7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A21A3F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3292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D5DCCC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Premije osiguranja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8445F6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7CF5FD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F5BC0E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3C5A6C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5CC4F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7CC59018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447885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3293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D03380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Reprezentacija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547D48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1.760,41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570D71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ABA389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648,91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AD7F70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36,86%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E95CB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041B9483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35E985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3294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4C7673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Članarine i norme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68D92A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1.504,76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6013B9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E17699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177,76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8FB5FB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11,81%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53554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6B077E7D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1D1386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3295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82BC6B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Pristojbe i naknade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832C51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543,59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47D1EE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4D5B45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228,39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B34EAB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42,02%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DBF7B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550AA" w:rsidRPr="004550AA" w14:paraId="5B29F75B" w14:textId="77777777" w:rsidTr="004550AA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8C7314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3299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278EDF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A0DB39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3.396,93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070E39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9657E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2.755,13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7762DF" w14:textId="77777777" w:rsidR="004550AA" w:rsidRPr="004550AA" w:rsidRDefault="004550AA" w:rsidP="004550A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81,11%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8E585" w14:textId="77777777" w:rsidR="004550AA" w:rsidRPr="004550AA" w:rsidRDefault="004550AA" w:rsidP="004550A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550A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56DA2DD2" w14:textId="729F96D6" w:rsidR="0036018D" w:rsidRPr="00000576" w:rsidRDefault="00D3452E" w:rsidP="00F45183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Naknade troškova zaposlenima u iznosu od </w:t>
      </w:r>
      <w:r w:rsidR="00766CBB" w:rsidRPr="00766CBB">
        <w:rPr>
          <w:rFonts w:cstheme="minorHAnsi"/>
          <w:sz w:val="22"/>
          <w:szCs w:val="22"/>
        </w:rPr>
        <w:t>5.362,37</w:t>
      </w:r>
      <w:r w:rsidR="00797DD3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 obuhvaćaju rashode za službena putovanja, </w:t>
      </w:r>
      <w:r w:rsidR="004C4052" w:rsidRPr="00000576">
        <w:rPr>
          <w:rFonts w:cstheme="minorHAnsi"/>
          <w:sz w:val="22"/>
          <w:szCs w:val="22"/>
        </w:rPr>
        <w:t xml:space="preserve">naknadu za prijevoz, </w:t>
      </w:r>
      <w:r w:rsidR="00AE006E" w:rsidRPr="00000576">
        <w:rPr>
          <w:rFonts w:cstheme="minorHAnsi"/>
          <w:sz w:val="22"/>
          <w:szCs w:val="22"/>
        </w:rPr>
        <w:t>rashode stručnog usavršavanja</w:t>
      </w:r>
      <w:r w:rsidR="004C4052" w:rsidRPr="00000576">
        <w:rPr>
          <w:rFonts w:cstheme="minorHAnsi"/>
          <w:sz w:val="22"/>
          <w:szCs w:val="22"/>
        </w:rPr>
        <w:t xml:space="preserve"> i ostale naknade troškova zaposlenima</w:t>
      </w:r>
      <w:r w:rsidR="00862519">
        <w:rPr>
          <w:rFonts w:cstheme="minorHAnsi"/>
          <w:sz w:val="22"/>
          <w:szCs w:val="22"/>
        </w:rPr>
        <w:t>, te su</w:t>
      </w:r>
      <w:r w:rsidR="004C4052" w:rsidRPr="00000576">
        <w:rPr>
          <w:rFonts w:cstheme="minorHAnsi"/>
          <w:sz w:val="22"/>
          <w:szCs w:val="22"/>
        </w:rPr>
        <w:t xml:space="preserve"> </w:t>
      </w:r>
      <w:r w:rsidR="00766CBB">
        <w:rPr>
          <w:rFonts w:cstheme="minorHAnsi"/>
          <w:sz w:val="22"/>
          <w:szCs w:val="22"/>
        </w:rPr>
        <w:t>4,10</w:t>
      </w:r>
      <w:r w:rsidR="00AE006E" w:rsidRPr="00000576">
        <w:rPr>
          <w:rFonts w:cstheme="minorHAnsi"/>
          <w:sz w:val="22"/>
          <w:szCs w:val="22"/>
        </w:rPr>
        <w:t xml:space="preserve">% </w:t>
      </w:r>
      <w:r w:rsidR="00766CBB">
        <w:rPr>
          <w:rFonts w:cstheme="minorHAnsi"/>
          <w:sz w:val="22"/>
          <w:szCs w:val="22"/>
        </w:rPr>
        <w:t>veći</w:t>
      </w:r>
      <w:r w:rsidR="00AE006E" w:rsidRPr="00000576">
        <w:rPr>
          <w:rFonts w:cstheme="minorHAnsi"/>
          <w:sz w:val="22"/>
          <w:szCs w:val="22"/>
        </w:rPr>
        <w:t xml:space="preserve"> u odnosu na</w:t>
      </w:r>
      <w:r w:rsidR="00797DD3">
        <w:rPr>
          <w:rFonts w:cstheme="minorHAnsi"/>
          <w:sz w:val="22"/>
          <w:szCs w:val="22"/>
        </w:rPr>
        <w:t xml:space="preserve"> isto razdoblje</w:t>
      </w:r>
      <w:r w:rsidR="00AE006E" w:rsidRPr="00000576">
        <w:rPr>
          <w:rFonts w:cstheme="minorHAnsi"/>
          <w:sz w:val="22"/>
          <w:szCs w:val="22"/>
        </w:rPr>
        <w:t xml:space="preserve"> prethodn</w:t>
      </w:r>
      <w:r w:rsidR="00797DD3">
        <w:rPr>
          <w:rFonts w:cstheme="minorHAnsi"/>
          <w:sz w:val="22"/>
          <w:szCs w:val="22"/>
        </w:rPr>
        <w:t>e</w:t>
      </w:r>
      <w:r w:rsidR="00AE006E" w:rsidRPr="00000576">
        <w:rPr>
          <w:rFonts w:cstheme="minorHAnsi"/>
          <w:sz w:val="22"/>
          <w:szCs w:val="22"/>
        </w:rPr>
        <w:t xml:space="preserve"> godin</w:t>
      </w:r>
      <w:r w:rsidR="00797DD3">
        <w:rPr>
          <w:rFonts w:cstheme="minorHAnsi"/>
          <w:sz w:val="22"/>
          <w:szCs w:val="22"/>
        </w:rPr>
        <w:t>e</w:t>
      </w:r>
      <w:r w:rsidR="008362B3" w:rsidRPr="00000576">
        <w:rPr>
          <w:rFonts w:cstheme="minorHAnsi"/>
          <w:sz w:val="22"/>
          <w:szCs w:val="22"/>
        </w:rPr>
        <w:t>.</w:t>
      </w:r>
    </w:p>
    <w:p w14:paraId="0956E95E" w14:textId="0E3F8003" w:rsidR="006C2915" w:rsidRPr="006C2915" w:rsidRDefault="008362B3" w:rsidP="006C2915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lastRenderedPageBreak/>
        <w:t xml:space="preserve">Rashodi za materijal i energiju ostvareni su u iznosu od </w:t>
      </w:r>
      <w:r w:rsidR="00766CBB" w:rsidRPr="00766CBB">
        <w:rPr>
          <w:rFonts w:cstheme="minorHAnsi"/>
          <w:sz w:val="22"/>
          <w:szCs w:val="22"/>
        </w:rPr>
        <w:t>8.243,65</w:t>
      </w:r>
      <w:r w:rsidR="00797DD3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, </w:t>
      </w:r>
      <w:r w:rsidR="00766CBB">
        <w:rPr>
          <w:rFonts w:cstheme="minorHAnsi"/>
          <w:sz w:val="22"/>
          <w:szCs w:val="22"/>
        </w:rPr>
        <w:t>a n</w:t>
      </w:r>
      <w:r w:rsidR="006C2915" w:rsidRPr="006C2915">
        <w:rPr>
          <w:rFonts w:cstheme="minorHAnsi"/>
          <w:sz w:val="22"/>
          <w:szCs w:val="22"/>
        </w:rPr>
        <w:t xml:space="preserve">ajveći dio </w:t>
      </w:r>
      <w:r w:rsidR="006C2915">
        <w:rPr>
          <w:rFonts w:cstheme="minorHAnsi"/>
          <w:sz w:val="22"/>
          <w:szCs w:val="22"/>
        </w:rPr>
        <w:t>ovih</w:t>
      </w:r>
      <w:r w:rsidR="006C2915" w:rsidRPr="006C2915">
        <w:rPr>
          <w:rFonts w:cstheme="minorHAnsi"/>
          <w:sz w:val="22"/>
          <w:szCs w:val="22"/>
        </w:rPr>
        <w:t xml:space="preserve"> rashoda odnosi na rashode za energiju u iznosu</w:t>
      </w:r>
      <w:r w:rsidR="006C2915">
        <w:rPr>
          <w:rFonts w:cstheme="minorHAnsi"/>
          <w:sz w:val="22"/>
          <w:szCs w:val="22"/>
        </w:rPr>
        <w:t xml:space="preserve"> </w:t>
      </w:r>
      <w:r w:rsidR="00766CBB" w:rsidRPr="00766CBB">
        <w:rPr>
          <w:rFonts w:cstheme="minorHAnsi"/>
          <w:sz w:val="22"/>
          <w:szCs w:val="22"/>
        </w:rPr>
        <w:t>6.782,69</w:t>
      </w:r>
      <w:r w:rsidR="00797DD3">
        <w:rPr>
          <w:rFonts w:cstheme="minorHAnsi"/>
          <w:sz w:val="22"/>
          <w:szCs w:val="22"/>
        </w:rPr>
        <w:t xml:space="preserve"> eura</w:t>
      </w:r>
      <w:r w:rsidR="006C2915" w:rsidRPr="006C2915">
        <w:rPr>
          <w:rFonts w:cstheme="minorHAnsi"/>
          <w:sz w:val="22"/>
          <w:szCs w:val="22"/>
        </w:rPr>
        <w:t xml:space="preserve">, a ostatak izvršenih rashoda odnosi se na rashode za uredski materijal, </w:t>
      </w:r>
      <w:r w:rsidR="006C2915" w:rsidRPr="00B65D8F">
        <w:rPr>
          <w:rFonts w:cstheme="minorHAnsi"/>
          <w:sz w:val="22"/>
          <w:szCs w:val="22"/>
        </w:rPr>
        <w:t xml:space="preserve">pretplatu na stručnu literaturu, </w:t>
      </w:r>
      <w:r w:rsidR="005A7AFD">
        <w:rPr>
          <w:rFonts w:cstheme="minorHAnsi"/>
          <w:sz w:val="22"/>
          <w:szCs w:val="22"/>
        </w:rPr>
        <w:t>materijal za čišćenje i sitni inventar</w:t>
      </w:r>
      <w:r w:rsidR="006C2915" w:rsidRPr="00B65D8F">
        <w:rPr>
          <w:rFonts w:cstheme="minorHAnsi"/>
          <w:sz w:val="22"/>
          <w:szCs w:val="22"/>
        </w:rPr>
        <w:t>.</w:t>
      </w:r>
    </w:p>
    <w:p w14:paraId="10896C29" w14:textId="46BB5DFD" w:rsidR="00374739" w:rsidRPr="00374739" w:rsidRDefault="00374739" w:rsidP="00B97AEC">
      <w:pPr>
        <w:spacing w:before="0" w:after="0" w:line="240" w:lineRule="auto"/>
        <w:jc w:val="both"/>
        <w:rPr>
          <w:rFonts w:cstheme="minorHAnsi"/>
          <w:sz w:val="22"/>
          <w:szCs w:val="22"/>
        </w:rPr>
      </w:pPr>
      <w:r w:rsidRPr="00374739">
        <w:rPr>
          <w:rFonts w:cstheme="minorHAnsi"/>
          <w:sz w:val="22"/>
          <w:szCs w:val="22"/>
        </w:rPr>
        <w:t xml:space="preserve">Rashodi za usluge su realizirani u iznosu od </w:t>
      </w:r>
      <w:r w:rsidR="00766CBB" w:rsidRPr="00766CBB">
        <w:rPr>
          <w:rFonts w:cstheme="minorHAnsi"/>
          <w:sz w:val="22"/>
          <w:szCs w:val="22"/>
        </w:rPr>
        <w:t>100.852,43</w:t>
      </w:r>
      <w:r w:rsidR="00797DD3">
        <w:rPr>
          <w:rFonts w:cstheme="minorHAnsi"/>
          <w:sz w:val="22"/>
          <w:szCs w:val="22"/>
        </w:rPr>
        <w:t xml:space="preserve"> eura</w:t>
      </w:r>
      <w:r w:rsidRPr="00374739">
        <w:rPr>
          <w:rFonts w:cstheme="minorHAnsi"/>
          <w:sz w:val="22"/>
          <w:szCs w:val="22"/>
        </w:rPr>
        <w:t xml:space="preserve">, te su </w:t>
      </w:r>
      <w:r w:rsidR="00766CBB">
        <w:rPr>
          <w:rFonts w:cstheme="minorHAnsi"/>
          <w:sz w:val="22"/>
          <w:szCs w:val="22"/>
        </w:rPr>
        <w:t>14,90</w:t>
      </w:r>
      <w:r w:rsidRPr="00374739">
        <w:rPr>
          <w:rFonts w:cstheme="minorHAnsi"/>
          <w:sz w:val="22"/>
          <w:szCs w:val="22"/>
        </w:rPr>
        <w:t xml:space="preserve">% </w:t>
      </w:r>
      <w:r w:rsidR="005B1DE6">
        <w:rPr>
          <w:rFonts w:cstheme="minorHAnsi"/>
          <w:sz w:val="22"/>
          <w:szCs w:val="22"/>
        </w:rPr>
        <w:t>manji</w:t>
      </w:r>
      <w:r w:rsidRPr="00374739">
        <w:rPr>
          <w:rFonts w:cstheme="minorHAnsi"/>
          <w:sz w:val="22"/>
          <w:szCs w:val="22"/>
        </w:rPr>
        <w:t xml:space="preserve"> u odnosu na pretho</w:t>
      </w:r>
      <w:r w:rsidR="00B97AEC">
        <w:rPr>
          <w:rFonts w:cstheme="minorHAnsi"/>
          <w:sz w:val="22"/>
          <w:szCs w:val="22"/>
        </w:rPr>
        <w:t>dnu godinu, a obuhvaćaju usluge</w:t>
      </w:r>
      <w:r w:rsidRPr="00374739">
        <w:rPr>
          <w:rFonts w:cstheme="minorHAnsi"/>
          <w:sz w:val="22"/>
          <w:szCs w:val="22"/>
        </w:rPr>
        <w:t xml:space="preserve"> tekućeg i investicijskog održavanja, promidžbe i informiranja, komunalne usluge, </w:t>
      </w:r>
      <w:r w:rsidR="00B97AEC">
        <w:rPr>
          <w:rFonts w:cstheme="minorHAnsi"/>
          <w:sz w:val="22"/>
          <w:szCs w:val="22"/>
        </w:rPr>
        <w:t xml:space="preserve">te </w:t>
      </w:r>
      <w:r w:rsidR="00B97AEC" w:rsidRPr="00B97AEC">
        <w:rPr>
          <w:rFonts w:cstheme="minorHAnsi"/>
          <w:sz w:val="22"/>
          <w:szCs w:val="22"/>
        </w:rPr>
        <w:t>druge</w:t>
      </w:r>
      <w:r w:rsidR="00B97AEC">
        <w:rPr>
          <w:rFonts w:cstheme="minorHAnsi"/>
          <w:sz w:val="22"/>
          <w:szCs w:val="22"/>
        </w:rPr>
        <w:t xml:space="preserve"> </w:t>
      </w:r>
      <w:r w:rsidR="00B97AEC" w:rsidRPr="00B97AEC">
        <w:rPr>
          <w:rFonts w:cstheme="minorHAnsi"/>
          <w:sz w:val="22"/>
          <w:szCs w:val="22"/>
        </w:rPr>
        <w:t>usluge vezane za redovno poslovanje i izvršavanje programskih aktivnosti</w:t>
      </w:r>
      <w:r w:rsidRPr="00374739">
        <w:rPr>
          <w:rFonts w:cstheme="minorHAnsi"/>
          <w:sz w:val="22"/>
          <w:szCs w:val="22"/>
        </w:rPr>
        <w:t>, od kojih najveći udio imaju:</w:t>
      </w:r>
    </w:p>
    <w:p w14:paraId="03072336" w14:textId="3F0B40CD" w:rsidR="00374739" w:rsidRDefault="00374739" w:rsidP="005B1DE6">
      <w:pPr>
        <w:pStyle w:val="Odlomakpopisa"/>
        <w:numPr>
          <w:ilvl w:val="0"/>
          <w:numId w:val="6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374739">
        <w:rPr>
          <w:rFonts w:cstheme="minorHAnsi"/>
          <w:sz w:val="22"/>
          <w:szCs w:val="22"/>
        </w:rPr>
        <w:t xml:space="preserve">usluge tekućeg </w:t>
      </w:r>
      <w:r w:rsidR="00B97AEC">
        <w:rPr>
          <w:rFonts w:cstheme="minorHAnsi"/>
          <w:sz w:val="22"/>
          <w:szCs w:val="22"/>
        </w:rPr>
        <w:t>i investicijskog održavanja koje</w:t>
      </w:r>
      <w:r w:rsidRPr="00374739">
        <w:rPr>
          <w:rFonts w:cstheme="minorHAnsi"/>
          <w:sz w:val="22"/>
          <w:szCs w:val="22"/>
        </w:rPr>
        <w:t xml:space="preserve"> iznos</w:t>
      </w:r>
      <w:r w:rsidR="00B97AEC">
        <w:rPr>
          <w:rFonts w:cstheme="minorHAnsi"/>
          <w:sz w:val="22"/>
          <w:szCs w:val="22"/>
        </w:rPr>
        <w:t>e</w:t>
      </w:r>
      <w:r w:rsidRPr="00374739">
        <w:rPr>
          <w:rFonts w:cstheme="minorHAnsi"/>
          <w:sz w:val="22"/>
          <w:szCs w:val="22"/>
        </w:rPr>
        <w:t xml:space="preserve"> </w:t>
      </w:r>
      <w:r w:rsidR="00766CBB" w:rsidRPr="00766CBB">
        <w:rPr>
          <w:rFonts w:cstheme="minorHAnsi"/>
          <w:sz w:val="22"/>
          <w:szCs w:val="22"/>
        </w:rPr>
        <w:t>51.327,59</w:t>
      </w:r>
      <w:r w:rsidR="005B1DE6">
        <w:rPr>
          <w:rFonts w:cstheme="minorHAnsi"/>
          <w:sz w:val="22"/>
          <w:szCs w:val="22"/>
        </w:rPr>
        <w:t xml:space="preserve"> eura</w:t>
      </w:r>
      <w:r w:rsidRPr="00374739">
        <w:rPr>
          <w:rFonts w:cstheme="minorHAnsi"/>
          <w:sz w:val="22"/>
          <w:szCs w:val="22"/>
        </w:rPr>
        <w:t>, a obuhvaća u najvećem dijelu održavanje komunalne infrastrukture (održavanje nerazvrstanih cesta i poljskih puteva, pješačkih staza, javne rasvjete, javnih površina) te održavanje domova i ostalih objekata u vlasništvu Općine</w:t>
      </w:r>
      <w:r w:rsidR="00F76FE6">
        <w:rPr>
          <w:rFonts w:cstheme="minorHAnsi"/>
          <w:sz w:val="22"/>
          <w:szCs w:val="22"/>
        </w:rPr>
        <w:t>,</w:t>
      </w:r>
    </w:p>
    <w:p w14:paraId="5B6BE920" w14:textId="77777777" w:rsidR="00766CBB" w:rsidRDefault="00766CBB" w:rsidP="00766CBB">
      <w:pPr>
        <w:pStyle w:val="Odlomakpopisa"/>
        <w:numPr>
          <w:ilvl w:val="0"/>
          <w:numId w:val="6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374739">
        <w:rPr>
          <w:rFonts w:cstheme="minorHAnsi"/>
          <w:sz w:val="22"/>
          <w:szCs w:val="22"/>
        </w:rPr>
        <w:t>komunalne usluge</w:t>
      </w:r>
      <w:r>
        <w:rPr>
          <w:rFonts w:cstheme="minorHAnsi"/>
          <w:sz w:val="22"/>
          <w:szCs w:val="22"/>
        </w:rPr>
        <w:t xml:space="preserve"> u iznosu od</w:t>
      </w:r>
      <w:r w:rsidRPr="00374739">
        <w:rPr>
          <w:rFonts w:cstheme="minorHAnsi"/>
          <w:sz w:val="22"/>
          <w:szCs w:val="22"/>
        </w:rPr>
        <w:t xml:space="preserve"> </w:t>
      </w:r>
      <w:r w:rsidRPr="00766CBB">
        <w:rPr>
          <w:rFonts w:cstheme="minorHAnsi"/>
          <w:sz w:val="22"/>
          <w:szCs w:val="22"/>
        </w:rPr>
        <w:t>19.482,93</w:t>
      </w:r>
      <w:r>
        <w:rPr>
          <w:rFonts w:cstheme="minorHAnsi"/>
          <w:sz w:val="22"/>
          <w:szCs w:val="22"/>
        </w:rPr>
        <w:t xml:space="preserve"> eura</w:t>
      </w:r>
      <w:r w:rsidRPr="00374739">
        <w:rPr>
          <w:rFonts w:cstheme="minorHAnsi"/>
          <w:sz w:val="22"/>
          <w:szCs w:val="22"/>
        </w:rPr>
        <w:t>, a obuhvaćaju rashode za odvoz otpada, opskrbu vodom, uslugu deratizacije i dezinsekcije</w:t>
      </w:r>
      <w:r>
        <w:rPr>
          <w:rFonts w:cstheme="minorHAnsi"/>
          <w:sz w:val="22"/>
          <w:szCs w:val="22"/>
        </w:rPr>
        <w:t>, zbrinjavanja napuštenih životinja i uređenja kanalske mreže.</w:t>
      </w:r>
    </w:p>
    <w:p w14:paraId="7E908675" w14:textId="09549158" w:rsidR="00E77D1E" w:rsidRPr="00F76FE6" w:rsidRDefault="00E77D1E" w:rsidP="005B1DE6">
      <w:pPr>
        <w:pStyle w:val="Odlomakpopisa"/>
        <w:numPr>
          <w:ilvl w:val="0"/>
          <w:numId w:val="6"/>
        </w:num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374739">
        <w:rPr>
          <w:rFonts w:cstheme="minorHAnsi"/>
          <w:sz w:val="22"/>
          <w:szCs w:val="22"/>
        </w:rPr>
        <w:t xml:space="preserve">intelektualne i osobne usluge u iznosu od </w:t>
      </w:r>
      <w:r w:rsidR="00766CBB" w:rsidRPr="00766CBB">
        <w:rPr>
          <w:rFonts w:cstheme="minorHAnsi"/>
          <w:sz w:val="22"/>
          <w:szCs w:val="22"/>
        </w:rPr>
        <w:t>19.088,34</w:t>
      </w:r>
      <w:r w:rsidR="005B1DE6">
        <w:rPr>
          <w:rFonts w:cstheme="minorHAnsi"/>
          <w:sz w:val="22"/>
          <w:szCs w:val="22"/>
        </w:rPr>
        <w:t xml:space="preserve"> eura</w:t>
      </w:r>
      <w:r w:rsidRPr="00374739">
        <w:rPr>
          <w:rFonts w:cstheme="minorHAnsi"/>
          <w:sz w:val="22"/>
          <w:szCs w:val="22"/>
        </w:rPr>
        <w:t xml:space="preserve">, koje se odnose na usluge računovodstva, usluge </w:t>
      </w:r>
      <w:r w:rsidR="00766CBB">
        <w:rPr>
          <w:rFonts w:cstheme="minorHAnsi"/>
          <w:sz w:val="22"/>
          <w:szCs w:val="22"/>
        </w:rPr>
        <w:t>procjene vrijednosti nekretnina</w:t>
      </w:r>
      <w:r w:rsidRPr="00374739">
        <w:rPr>
          <w:rFonts w:cstheme="minorHAnsi"/>
          <w:sz w:val="22"/>
          <w:szCs w:val="22"/>
        </w:rPr>
        <w:t xml:space="preserve">, </w:t>
      </w:r>
      <w:r w:rsidR="00766CBB">
        <w:rPr>
          <w:rFonts w:cstheme="minorHAnsi"/>
          <w:sz w:val="22"/>
          <w:szCs w:val="22"/>
        </w:rPr>
        <w:t xml:space="preserve">računalne usluge, </w:t>
      </w:r>
      <w:r>
        <w:rPr>
          <w:rFonts w:cstheme="minorHAnsi"/>
          <w:sz w:val="22"/>
          <w:szCs w:val="22"/>
        </w:rPr>
        <w:t xml:space="preserve">te geodetsko-katastarske </w:t>
      </w:r>
      <w:r w:rsidRPr="00374739">
        <w:rPr>
          <w:rFonts w:cstheme="minorHAnsi"/>
          <w:sz w:val="22"/>
          <w:szCs w:val="22"/>
        </w:rPr>
        <w:t xml:space="preserve">usluge </w:t>
      </w:r>
      <w:r>
        <w:rPr>
          <w:rFonts w:cstheme="minorHAnsi"/>
          <w:sz w:val="22"/>
          <w:szCs w:val="22"/>
        </w:rPr>
        <w:t>i ostale usluge</w:t>
      </w:r>
      <w:r w:rsidR="00766CBB">
        <w:rPr>
          <w:rFonts w:cstheme="minorHAnsi"/>
          <w:sz w:val="22"/>
          <w:szCs w:val="22"/>
        </w:rPr>
        <w:t>.</w:t>
      </w:r>
    </w:p>
    <w:p w14:paraId="6711FDD8" w14:textId="3EC01CF5" w:rsidR="00845ABE" w:rsidRPr="00000576" w:rsidRDefault="00845ABE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Ostali nespomenuti rashodi poslovanja </w:t>
      </w:r>
      <w:r w:rsidR="00E67766">
        <w:rPr>
          <w:rFonts w:cstheme="minorHAnsi"/>
          <w:sz w:val="22"/>
          <w:szCs w:val="22"/>
        </w:rPr>
        <w:t xml:space="preserve">ostvareni su iznosu od </w:t>
      </w:r>
      <w:r w:rsidR="00766CBB" w:rsidRPr="00766CBB">
        <w:rPr>
          <w:rFonts w:cstheme="minorHAnsi"/>
          <w:sz w:val="22"/>
          <w:szCs w:val="22"/>
        </w:rPr>
        <w:t>3.810,19</w:t>
      </w:r>
      <w:r w:rsidR="005B1DE6">
        <w:rPr>
          <w:rFonts w:cstheme="minorHAnsi"/>
          <w:sz w:val="22"/>
          <w:szCs w:val="22"/>
        </w:rPr>
        <w:t xml:space="preserve"> eura</w:t>
      </w:r>
      <w:r w:rsidR="00E67766">
        <w:rPr>
          <w:rFonts w:cstheme="minorHAnsi"/>
          <w:sz w:val="22"/>
          <w:szCs w:val="22"/>
        </w:rPr>
        <w:t xml:space="preserve">, a </w:t>
      </w:r>
      <w:r w:rsidRPr="00000576">
        <w:rPr>
          <w:rFonts w:cstheme="minorHAnsi"/>
          <w:sz w:val="22"/>
          <w:szCs w:val="22"/>
        </w:rPr>
        <w:t xml:space="preserve">obuhvaćaju </w:t>
      </w:r>
      <w:r w:rsidR="00AF0D77" w:rsidRPr="00000576">
        <w:rPr>
          <w:rFonts w:cstheme="minorHAnsi"/>
          <w:sz w:val="22"/>
          <w:szCs w:val="22"/>
        </w:rPr>
        <w:t xml:space="preserve">rashode kao što su </w:t>
      </w:r>
      <w:r w:rsidR="00E77D1E" w:rsidRPr="00E77D1E">
        <w:rPr>
          <w:rFonts w:cstheme="minorHAnsi"/>
          <w:sz w:val="22"/>
          <w:szCs w:val="22"/>
        </w:rPr>
        <w:t>reprezentacij</w:t>
      </w:r>
      <w:r w:rsidR="00E77D1E">
        <w:rPr>
          <w:rFonts w:cstheme="minorHAnsi"/>
          <w:sz w:val="22"/>
          <w:szCs w:val="22"/>
        </w:rPr>
        <w:t>a</w:t>
      </w:r>
      <w:r w:rsidR="00E77D1E" w:rsidRPr="00E77D1E">
        <w:rPr>
          <w:rFonts w:cstheme="minorHAnsi"/>
          <w:sz w:val="22"/>
          <w:szCs w:val="22"/>
        </w:rPr>
        <w:t xml:space="preserve">, </w:t>
      </w:r>
      <w:r w:rsidR="00A42AC6">
        <w:rPr>
          <w:rFonts w:cstheme="minorHAnsi"/>
          <w:sz w:val="22"/>
          <w:szCs w:val="22"/>
        </w:rPr>
        <w:t>troškovi javnih bilježnika,</w:t>
      </w:r>
      <w:r w:rsidR="00A42AC6" w:rsidRPr="00000576">
        <w:rPr>
          <w:rFonts w:cstheme="minorHAnsi"/>
          <w:sz w:val="22"/>
          <w:szCs w:val="22"/>
        </w:rPr>
        <w:t xml:space="preserve"> pristojbe</w:t>
      </w:r>
      <w:r w:rsidR="00A42AC6">
        <w:rPr>
          <w:rFonts w:cstheme="minorHAnsi"/>
          <w:sz w:val="22"/>
          <w:szCs w:val="22"/>
        </w:rPr>
        <w:t>,</w:t>
      </w:r>
      <w:r w:rsidR="00A42AC6" w:rsidRPr="00E77D1E">
        <w:rPr>
          <w:rFonts w:cstheme="minorHAnsi"/>
          <w:sz w:val="22"/>
          <w:szCs w:val="22"/>
        </w:rPr>
        <w:t xml:space="preserve"> </w:t>
      </w:r>
      <w:r w:rsidR="00E77D1E" w:rsidRPr="00E77D1E">
        <w:rPr>
          <w:rFonts w:cstheme="minorHAnsi"/>
          <w:sz w:val="22"/>
          <w:szCs w:val="22"/>
        </w:rPr>
        <w:t>članarine i druge nespomenute rashode poslovanja</w:t>
      </w:r>
      <w:r w:rsidRPr="00000576">
        <w:rPr>
          <w:rFonts w:cstheme="minorHAnsi"/>
          <w:sz w:val="22"/>
          <w:szCs w:val="22"/>
        </w:rPr>
        <w:t>.</w:t>
      </w:r>
    </w:p>
    <w:p w14:paraId="384434CA" w14:textId="6039F063" w:rsidR="006726D0" w:rsidRPr="00000576" w:rsidRDefault="006726D0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2BAA03BF" w14:textId="0E85C87A" w:rsidR="001924E7" w:rsidRPr="00F40BBA" w:rsidRDefault="00F40BBA" w:rsidP="00165728">
      <w:pPr>
        <w:pStyle w:val="Naslov3"/>
        <w:numPr>
          <w:ilvl w:val="2"/>
          <w:numId w:val="4"/>
        </w:numPr>
        <w:spacing w:before="0" w:after="120"/>
        <w:ind w:left="561"/>
        <w:rPr>
          <w:b/>
          <w:sz w:val="22"/>
        </w:rPr>
      </w:pPr>
      <w:bookmarkStart w:id="18" w:name="_Toc144891694"/>
      <w:r w:rsidRPr="00F40BBA">
        <w:rPr>
          <w:b/>
          <w:caps w:val="0"/>
          <w:sz w:val="22"/>
        </w:rPr>
        <w:t>Financijski rashodi</w:t>
      </w:r>
      <w:bookmarkEnd w:id="18"/>
    </w:p>
    <w:p w14:paraId="345E927A" w14:textId="5E977833" w:rsidR="003C1908" w:rsidRDefault="001924E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140F2C">
        <w:rPr>
          <w:rFonts w:cstheme="minorHAnsi"/>
          <w:sz w:val="22"/>
          <w:szCs w:val="22"/>
        </w:rPr>
        <w:t xml:space="preserve">Financijski rashodi su ostvareni u iznosu od </w:t>
      </w:r>
      <w:r w:rsidR="00BA132B" w:rsidRPr="00BA132B">
        <w:rPr>
          <w:rFonts w:cstheme="minorHAnsi"/>
          <w:sz w:val="22"/>
          <w:szCs w:val="22"/>
        </w:rPr>
        <w:t>6.601,39</w:t>
      </w:r>
      <w:r w:rsidR="00140F2C">
        <w:rPr>
          <w:rFonts w:cstheme="minorHAnsi"/>
          <w:sz w:val="22"/>
          <w:szCs w:val="22"/>
        </w:rPr>
        <w:t xml:space="preserve"> eura</w:t>
      </w:r>
      <w:r w:rsidRPr="00140F2C">
        <w:rPr>
          <w:rFonts w:cstheme="minorHAnsi"/>
          <w:sz w:val="22"/>
          <w:szCs w:val="22"/>
        </w:rPr>
        <w:t xml:space="preserve"> čime je ostvareno </w:t>
      </w:r>
      <w:r w:rsidR="00BA132B">
        <w:rPr>
          <w:rFonts w:cstheme="minorHAnsi"/>
          <w:sz w:val="22"/>
          <w:szCs w:val="22"/>
        </w:rPr>
        <w:t>45,84</w:t>
      </w:r>
      <w:r w:rsidRPr="00140F2C">
        <w:rPr>
          <w:rFonts w:cstheme="minorHAnsi"/>
          <w:sz w:val="22"/>
          <w:szCs w:val="22"/>
        </w:rPr>
        <w:t>% Plana za 20</w:t>
      </w:r>
      <w:r w:rsidR="003C6F29" w:rsidRPr="00140F2C">
        <w:rPr>
          <w:rFonts w:cstheme="minorHAnsi"/>
          <w:sz w:val="22"/>
          <w:szCs w:val="22"/>
        </w:rPr>
        <w:t>2</w:t>
      </w:r>
      <w:r w:rsidR="00BA132B">
        <w:rPr>
          <w:rFonts w:cstheme="minorHAnsi"/>
          <w:sz w:val="22"/>
          <w:szCs w:val="22"/>
        </w:rPr>
        <w:t>4</w:t>
      </w:r>
      <w:r w:rsidRPr="00140F2C">
        <w:rPr>
          <w:rFonts w:cstheme="minorHAnsi"/>
          <w:sz w:val="22"/>
          <w:szCs w:val="22"/>
        </w:rPr>
        <w:t xml:space="preserve">. godinu. U usporedbi s prethodnom godinom financijski rashodi </w:t>
      </w:r>
      <w:r w:rsidR="00BA132B">
        <w:rPr>
          <w:rFonts w:cstheme="minorHAnsi"/>
          <w:sz w:val="22"/>
          <w:szCs w:val="22"/>
        </w:rPr>
        <w:t>su povećani</w:t>
      </w:r>
      <w:r w:rsidRPr="00140F2C">
        <w:rPr>
          <w:rFonts w:cstheme="minorHAnsi"/>
          <w:sz w:val="22"/>
          <w:szCs w:val="22"/>
        </w:rPr>
        <w:t xml:space="preserve"> za</w:t>
      </w:r>
      <w:r w:rsidR="003C6F29" w:rsidRPr="00140F2C">
        <w:rPr>
          <w:rFonts w:cstheme="minorHAnsi"/>
          <w:sz w:val="22"/>
          <w:szCs w:val="22"/>
        </w:rPr>
        <w:t xml:space="preserve"> </w:t>
      </w:r>
      <w:r w:rsidR="00BA132B">
        <w:rPr>
          <w:rFonts w:cstheme="minorHAnsi"/>
          <w:sz w:val="22"/>
          <w:szCs w:val="22"/>
        </w:rPr>
        <w:t>28,98</w:t>
      </w:r>
      <w:r w:rsidR="003C1908" w:rsidRPr="00140F2C">
        <w:rPr>
          <w:rFonts w:cstheme="minorHAnsi"/>
          <w:sz w:val="22"/>
          <w:szCs w:val="22"/>
        </w:rPr>
        <w:t>%</w:t>
      </w:r>
      <w:r w:rsidR="00BA132B">
        <w:rPr>
          <w:rFonts w:cstheme="minorHAnsi"/>
          <w:sz w:val="22"/>
          <w:szCs w:val="22"/>
        </w:rPr>
        <w:t xml:space="preserve"> zbog početka otplate dugoročnog kredita</w:t>
      </w:r>
      <w:r w:rsidR="003C1908" w:rsidRPr="00140F2C">
        <w:rPr>
          <w:rFonts w:cstheme="minorHAnsi"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4465"/>
        <w:gridCol w:w="1123"/>
        <w:gridCol w:w="1123"/>
        <w:gridCol w:w="1330"/>
        <w:gridCol w:w="849"/>
        <w:gridCol w:w="822"/>
      </w:tblGrid>
      <w:tr w:rsidR="00BA132B" w:rsidRPr="00BA132B" w14:paraId="28AF8C8A" w14:textId="77777777" w:rsidTr="00BA132B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53064E9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C9C090C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13F95D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E521CC1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F260C41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1B0E1EB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D7D913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BA132B" w:rsidRPr="00BA132B" w14:paraId="3848E020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1AF4D6A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D39E00E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0555F5D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6384A60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88A2BAC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7BA6DC7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1254B7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BA132B" w:rsidRPr="00BA132B" w14:paraId="4AC1C302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CAF7FA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980F2F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Financijski rashodi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8B3DFE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5.118,09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D5EA6E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14.400,00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8F376F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6.601,39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4E5D04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128,98%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32512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45,84%</w:t>
            </w:r>
          </w:p>
        </w:tc>
      </w:tr>
      <w:tr w:rsidR="00BA132B" w:rsidRPr="00BA132B" w14:paraId="6CC12156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6308A9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342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4FF936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Kamate za primljene kredite i zajmove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1860D6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2.858,00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47D1E0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4B59F1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5.697,12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C624AD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199,34%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EE8A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A132B" w:rsidRPr="00BA132B" w14:paraId="4DB1B3AD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28CE29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3423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79E6B7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94E2EE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2.858,00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D2A63E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4073F0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5.697,12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AC88BE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199,34%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6B099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A132B" w:rsidRPr="00BA132B" w14:paraId="613B0C31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46C260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343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9B9E22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Ostali financijski rashodi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0E8692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2.260,09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4D7193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0AC269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904,27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D0FDDA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40,01%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76783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A132B" w:rsidRPr="00BA132B" w14:paraId="76B496B4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4F9A87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3431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E80801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Bankarske usluge i usluge platnog prometa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87FBD5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648,76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D502AF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D4A10E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518,40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3379BD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79,91%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237D5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A132B" w:rsidRPr="00BA132B" w14:paraId="7A559BA5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067DAA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3434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0FA96A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financijski rashodi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E32C5C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1.611,33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29B1FE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9E3EAE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385,87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D77825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23,95%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9029B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11CA18FB" w14:textId="05F6E3C3" w:rsidR="001924E7" w:rsidRDefault="00A2762C" w:rsidP="00F40BB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Navedeni rashodi obuhvaćaju kamate za primljene kredite</w:t>
      </w:r>
      <w:r w:rsidR="003C6F29" w:rsidRPr="00000576">
        <w:rPr>
          <w:rFonts w:cstheme="minorHAnsi"/>
          <w:sz w:val="22"/>
          <w:szCs w:val="22"/>
        </w:rPr>
        <w:t xml:space="preserve"> i zajmove</w:t>
      </w:r>
      <w:r w:rsidRPr="00000576">
        <w:rPr>
          <w:rFonts w:cstheme="minorHAnsi"/>
          <w:sz w:val="22"/>
          <w:szCs w:val="22"/>
        </w:rPr>
        <w:t xml:space="preserve">, naknade za usluge platnog prometa i ostale bankarske usluge. </w:t>
      </w:r>
    </w:p>
    <w:p w14:paraId="3060FE5A" w14:textId="77777777" w:rsidR="00C340D3" w:rsidRPr="00000576" w:rsidRDefault="00C340D3" w:rsidP="00F40BB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6CECC047" w14:textId="78D69E52" w:rsidR="00624965" w:rsidRPr="00F40BBA" w:rsidRDefault="00F40BBA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19" w:name="_Toc144891695"/>
      <w:r w:rsidRPr="00F40BBA">
        <w:rPr>
          <w:b/>
          <w:caps w:val="0"/>
          <w:sz w:val="22"/>
        </w:rPr>
        <w:t>Subvencije</w:t>
      </w:r>
      <w:bookmarkEnd w:id="19"/>
    </w:p>
    <w:p w14:paraId="03450EE8" w14:textId="02A70BA5" w:rsidR="00624965" w:rsidRDefault="0048366B" w:rsidP="00F40BBA">
      <w:pPr>
        <w:spacing w:before="0" w:after="120" w:line="240" w:lineRule="auto"/>
        <w:jc w:val="both"/>
        <w:rPr>
          <w:rFonts w:cstheme="minorHAnsi"/>
          <w:bCs/>
          <w:sz w:val="22"/>
          <w:szCs w:val="22"/>
        </w:rPr>
      </w:pPr>
      <w:r w:rsidRPr="0048366B">
        <w:rPr>
          <w:rFonts w:cstheme="minorHAnsi"/>
          <w:bCs/>
          <w:sz w:val="22"/>
          <w:szCs w:val="22"/>
        </w:rPr>
        <w:t xml:space="preserve">Subvencije </w:t>
      </w:r>
      <w:r w:rsidR="00BA132B">
        <w:rPr>
          <w:rFonts w:cstheme="minorHAnsi"/>
          <w:bCs/>
          <w:sz w:val="22"/>
          <w:szCs w:val="22"/>
        </w:rPr>
        <w:t>su ostvarene u iznosu od 1.208,70 eura, te je tako realizirano 30,22% Plana za 2024. godinu.</w:t>
      </w:r>
      <w:r w:rsidRPr="0048366B">
        <w:rPr>
          <w:rFonts w:cstheme="minorHAnsi"/>
          <w:bCs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4465"/>
        <w:gridCol w:w="1123"/>
        <w:gridCol w:w="1123"/>
        <w:gridCol w:w="1330"/>
        <w:gridCol w:w="849"/>
        <w:gridCol w:w="822"/>
      </w:tblGrid>
      <w:tr w:rsidR="00BA132B" w:rsidRPr="00BA132B" w14:paraId="3559623D" w14:textId="77777777" w:rsidTr="00BA132B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EFF858F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BB380A8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05BB8B3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9C974AE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08E2641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85E6CCB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809823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BA132B" w:rsidRPr="00BA132B" w14:paraId="00301605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11A8ABD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2494090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F3EAE3A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2AEBFB5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4FD7E62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BE66A90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9304E9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BA132B" w:rsidRPr="00BA132B" w14:paraId="03D33250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C97A36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623806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Subvencije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0C40C7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1E0336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6DFE44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1.208,70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C053C4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A509B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30,22%</w:t>
            </w:r>
          </w:p>
        </w:tc>
      </w:tr>
      <w:tr w:rsidR="00BA132B" w:rsidRPr="00BA132B" w14:paraId="2420381D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3DDF08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352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A22A0B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33D6AA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BF1C76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B3B981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1.208,70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E04D27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C88FD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A132B" w:rsidRPr="00BA132B" w14:paraId="67B2AB18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158116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3523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05E695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Subvencije poljoprivrednicima i obrtnicima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6BC7CF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DD2D56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210D9E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1.208,70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1423EB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2A6B8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1BC5E928" w14:textId="5E61337F" w:rsidR="00BA132B" w:rsidRDefault="00BA132B" w:rsidP="00BA132B">
      <w:pPr>
        <w:spacing w:before="120" w:after="120" w:line="240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Dane subvencije se u potpunosti odnose na </w:t>
      </w:r>
      <w:r w:rsidRPr="0048366B">
        <w:rPr>
          <w:rFonts w:cstheme="minorHAnsi"/>
          <w:bCs/>
          <w:sz w:val="22"/>
          <w:szCs w:val="22"/>
        </w:rPr>
        <w:t>subvencije poljoprivrednicima za registraciju traktora i priključnih vozila.</w:t>
      </w:r>
    </w:p>
    <w:p w14:paraId="635F44A9" w14:textId="77777777" w:rsidR="00F40BBA" w:rsidRPr="00000576" w:rsidRDefault="00F40BBA" w:rsidP="00331E1E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4A5C810C" w14:textId="412EF2FD" w:rsidR="00624965" w:rsidRPr="00F40BBA" w:rsidRDefault="00F40BBA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0" w:name="_Toc144891696"/>
      <w:r w:rsidRPr="00F40BBA">
        <w:rPr>
          <w:b/>
          <w:caps w:val="0"/>
          <w:sz w:val="22"/>
        </w:rPr>
        <w:t>Pomoći dane u inozemstvo i unutar općeg proračuna</w:t>
      </w:r>
      <w:bookmarkEnd w:id="20"/>
      <w:r w:rsidRPr="00F40BBA">
        <w:rPr>
          <w:b/>
          <w:caps w:val="0"/>
          <w:sz w:val="22"/>
        </w:rPr>
        <w:t xml:space="preserve"> </w:t>
      </w:r>
    </w:p>
    <w:p w14:paraId="0BCEABD6" w14:textId="056ACE4F" w:rsidR="00624965" w:rsidRDefault="00624965" w:rsidP="00000576">
      <w:pPr>
        <w:spacing w:before="0" w:after="120" w:line="240" w:lineRule="auto"/>
        <w:jc w:val="both"/>
        <w:rPr>
          <w:rFonts w:cstheme="minorHAnsi"/>
          <w:bCs/>
          <w:sz w:val="22"/>
          <w:szCs w:val="22"/>
        </w:rPr>
      </w:pPr>
      <w:r w:rsidRPr="00395275">
        <w:rPr>
          <w:rFonts w:cstheme="minorHAnsi"/>
          <w:bCs/>
          <w:sz w:val="22"/>
          <w:szCs w:val="22"/>
        </w:rPr>
        <w:t xml:space="preserve">Pomoći dane u inozemstvo i unutar općeg proračuna ostvarene su u iznosu od </w:t>
      </w:r>
      <w:r w:rsidR="00BA132B" w:rsidRPr="00BA132B">
        <w:rPr>
          <w:rFonts w:cstheme="minorHAnsi"/>
          <w:bCs/>
          <w:sz w:val="22"/>
          <w:szCs w:val="22"/>
        </w:rPr>
        <w:t>4.911,54</w:t>
      </w:r>
      <w:r w:rsidR="0048366B">
        <w:rPr>
          <w:rFonts w:cstheme="minorHAnsi"/>
          <w:bCs/>
          <w:sz w:val="22"/>
          <w:szCs w:val="22"/>
        </w:rPr>
        <w:t xml:space="preserve"> eura</w:t>
      </w:r>
      <w:r w:rsidRPr="00395275">
        <w:rPr>
          <w:rFonts w:cstheme="minorHAnsi"/>
          <w:bCs/>
          <w:sz w:val="22"/>
          <w:szCs w:val="22"/>
        </w:rPr>
        <w:t xml:space="preserve">, </w:t>
      </w:r>
      <w:r w:rsidR="00BA132B">
        <w:rPr>
          <w:rFonts w:cstheme="minorHAnsi"/>
          <w:bCs/>
          <w:sz w:val="22"/>
          <w:szCs w:val="22"/>
        </w:rPr>
        <w:t>što je približno na razini prethodne godine</w:t>
      </w:r>
      <w:r w:rsidRPr="00395275">
        <w:rPr>
          <w:rFonts w:cstheme="minorHAnsi"/>
          <w:bCs/>
          <w:sz w:val="22"/>
          <w:szCs w:val="22"/>
        </w:rPr>
        <w:t>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4464"/>
        <w:gridCol w:w="1123"/>
        <w:gridCol w:w="1123"/>
        <w:gridCol w:w="1330"/>
        <w:gridCol w:w="849"/>
        <w:gridCol w:w="822"/>
      </w:tblGrid>
      <w:tr w:rsidR="00BA132B" w:rsidRPr="00BA132B" w14:paraId="67E6FCA4" w14:textId="77777777" w:rsidTr="00BA132B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D58CDB5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2D87451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4F31FEB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E1C41B5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D116D3C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0985E47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65AE92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BA132B" w:rsidRPr="00BA132B" w14:paraId="0FB80831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377051C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80BBB5F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51FE7D4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40D9253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7B3399D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1B63677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546BCB" w14:textId="77777777" w:rsidR="00BA132B" w:rsidRPr="00BA132B" w:rsidRDefault="00BA132B" w:rsidP="00BA132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BA132B" w:rsidRPr="00BA132B" w14:paraId="00562163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1EF12E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36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174017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Pomoći dane u inozemstvo i unutar općeg proračuna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0265AE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4.283,03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03AE50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60.400,00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42EE54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4.911,54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BE005B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114,67%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075DB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8,13%</w:t>
            </w:r>
          </w:p>
        </w:tc>
      </w:tr>
      <w:tr w:rsidR="00BA132B" w:rsidRPr="00BA132B" w14:paraId="376806A5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4B89BE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363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EFE90A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Pomoći unutar općeg proračuna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CBCA2A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1760EC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EE0DA6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8E5535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7C7C7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A132B" w:rsidRPr="00BA132B" w14:paraId="3AE1B0F5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D3AA41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3632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374FF0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Kapitalne pomoći unutar općeg proračuna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02793D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F1E4D7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E4D11E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372A8B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7C447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A132B" w:rsidRPr="00BA132B" w14:paraId="5C71253F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4E86AF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366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91E60F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Pomoći proračunskim korisnicima drugih proračuna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3371F1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4.283,03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A6EFA2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441CD3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4.911,54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12B7F9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114,67%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8A5E6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A132B" w:rsidRPr="00BA132B" w14:paraId="72DF65F4" w14:textId="77777777" w:rsidTr="00BA132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AEC0AB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3661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2257B4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Tekuće pomoći proračunskim korisnicima drugih proračuna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8B90B3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4.283,03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3AE3B2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3DCDC6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4.911,54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0C01EB" w14:textId="77777777" w:rsidR="00BA132B" w:rsidRPr="00BA132B" w:rsidRDefault="00BA132B" w:rsidP="00BA132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114,67%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257CF" w14:textId="77777777" w:rsidR="00BA132B" w:rsidRPr="00BA132B" w:rsidRDefault="00BA132B" w:rsidP="00BA132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A132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51C72A97" w14:textId="6AA66D77" w:rsidR="00F40BBA" w:rsidRPr="00395275" w:rsidRDefault="00F40BBA" w:rsidP="00F40BBA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395275">
        <w:rPr>
          <w:rFonts w:cstheme="minorHAnsi"/>
          <w:sz w:val="22"/>
          <w:szCs w:val="22"/>
        </w:rPr>
        <w:t xml:space="preserve">Ova stavka se u potpunosti odnosi na donacije na školstvo, odnosno program </w:t>
      </w:r>
      <w:proofErr w:type="spellStart"/>
      <w:r w:rsidRPr="00395275">
        <w:rPr>
          <w:rFonts w:cstheme="minorHAnsi"/>
          <w:sz w:val="22"/>
          <w:szCs w:val="22"/>
        </w:rPr>
        <w:t>predškole</w:t>
      </w:r>
      <w:proofErr w:type="spellEnd"/>
      <w:r w:rsidRPr="00395275">
        <w:rPr>
          <w:rFonts w:cstheme="minorHAnsi"/>
          <w:sz w:val="22"/>
          <w:szCs w:val="22"/>
        </w:rPr>
        <w:t xml:space="preserve"> i druge</w:t>
      </w:r>
      <w:r w:rsidR="000C7768" w:rsidRPr="00395275">
        <w:rPr>
          <w:rFonts w:cstheme="minorHAnsi"/>
          <w:sz w:val="22"/>
          <w:szCs w:val="22"/>
        </w:rPr>
        <w:t xml:space="preserve"> školske</w:t>
      </w:r>
      <w:r w:rsidRPr="00395275">
        <w:rPr>
          <w:rFonts w:cstheme="minorHAnsi"/>
          <w:sz w:val="22"/>
          <w:szCs w:val="22"/>
        </w:rPr>
        <w:t xml:space="preserve"> potrebe.</w:t>
      </w:r>
    </w:p>
    <w:p w14:paraId="4E4ECB00" w14:textId="77777777" w:rsidR="000C7768" w:rsidRPr="00395275" w:rsidRDefault="000C7768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098697FD" w14:textId="737AF838" w:rsidR="005809AA" w:rsidRPr="00C21516" w:rsidRDefault="00C21516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1" w:name="_Toc144891697"/>
      <w:r w:rsidRPr="00C21516">
        <w:rPr>
          <w:b/>
          <w:caps w:val="0"/>
          <w:sz w:val="22"/>
        </w:rPr>
        <w:t>Naknade građanima i kućanstvima na temelju osiguranja i druge naknade</w:t>
      </w:r>
      <w:bookmarkEnd w:id="21"/>
    </w:p>
    <w:p w14:paraId="0B818ABF" w14:textId="7C82AE49" w:rsidR="005809AA" w:rsidRDefault="005809AA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Naknade građanima i kućanstvima realizirane su u iznosu od</w:t>
      </w:r>
      <w:r w:rsidR="003C6F29" w:rsidRPr="00000576">
        <w:rPr>
          <w:rFonts w:cstheme="minorHAnsi"/>
          <w:sz w:val="22"/>
          <w:szCs w:val="22"/>
        </w:rPr>
        <w:t xml:space="preserve"> </w:t>
      </w:r>
      <w:r w:rsidR="009C2873" w:rsidRPr="009C2873">
        <w:rPr>
          <w:rFonts w:cstheme="minorHAnsi"/>
          <w:sz w:val="22"/>
          <w:szCs w:val="22"/>
        </w:rPr>
        <w:t>8.355,06</w:t>
      </w:r>
      <w:r w:rsidR="00825D8E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 čime je ostvareno </w:t>
      </w:r>
      <w:r w:rsidR="009C2873">
        <w:rPr>
          <w:rFonts w:cstheme="minorHAnsi"/>
          <w:sz w:val="22"/>
          <w:szCs w:val="22"/>
        </w:rPr>
        <w:t>32,51</w:t>
      </w:r>
      <w:r w:rsidRPr="00000576">
        <w:rPr>
          <w:rFonts w:cstheme="minorHAnsi"/>
          <w:sz w:val="22"/>
          <w:szCs w:val="22"/>
        </w:rPr>
        <w:t>% Plana. U odnosu na prethodnu godinu</w:t>
      </w:r>
      <w:r w:rsidR="00CE192F" w:rsidRPr="00000576">
        <w:rPr>
          <w:rFonts w:cstheme="minorHAnsi"/>
          <w:sz w:val="22"/>
          <w:szCs w:val="22"/>
        </w:rPr>
        <w:t>,</w:t>
      </w:r>
      <w:r w:rsidRPr="00000576">
        <w:rPr>
          <w:rFonts w:cstheme="minorHAnsi"/>
          <w:sz w:val="22"/>
          <w:szCs w:val="22"/>
        </w:rPr>
        <w:t xml:space="preserve"> bilježimo </w:t>
      </w:r>
      <w:r w:rsidR="00090D6F">
        <w:rPr>
          <w:rFonts w:cstheme="minorHAnsi"/>
          <w:sz w:val="22"/>
          <w:szCs w:val="22"/>
        </w:rPr>
        <w:t>smanjenje</w:t>
      </w:r>
      <w:r w:rsidRPr="00000576">
        <w:rPr>
          <w:rFonts w:cstheme="minorHAnsi"/>
          <w:sz w:val="22"/>
          <w:szCs w:val="22"/>
        </w:rPr>
        <w:t xml:space="preserve"> izdvajanja za </w:t>
      </w:r>
      <w:r w:rsidR="009C2873">
        <w:rPr>
          <w:rFonts w:cstheme="minorHAnsi"/>
          <w:sz w:val="22"/>
          <w:szCs w:val="22"/>
        </w:rPr>
        <w:t>22,28</w:t>
      </w:r>
      <w:r w:rsidRPr="00000576">
        <w:rPr>
          <w:rFonts w:cstheme="minorHAnsi"/>
          <w:sz w:val="22"/>
          <w:szCs w:val="22"/>
        </w:rPr>
        <w:t>%.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4465"/>
        <w:gridCol w:w="1123"/>
        <w:gridCol w:w="1123"/>
        <w:gridCol w:w="1330"/>
        <w:gridCol w:w="849"/>
        <w:gridCol w:w="822"/>
      </w:tblGrid>
      <w:tr w:rsidR="009C2873" w:rsidRPr="009C2873" w14:paraId="4A45507B" w14:textId="77777777" w:rsidTr="009C2873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1D2F3B5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4DC35A8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F032BC5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7B3182E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CB3810A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D6A3ECA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F7A36D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9C2873" w:rsidRPr="009C2873" w14:paraId="7CBBAE18" w14:textId="77777777" w:rsidTr="009C287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02D6E40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9EB78D9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987F060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F1D8106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9EB771B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9451BED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4D3A20" w14:textId="77777777" w:rsidR="009C2873" w:rsidRPr="009C2873" w:rsidRDefault="009C2873" w:rsidP="009C287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9C2873" w:rsidRPr="009C2873" w14:paraId="0BB4E5FB" w14:textId="77777777" w:rsidTr="009C287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12D211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37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11C00D" w14:textId="77777777" w:rsidR="009C2873" w:rsidRPr="009C2873" w:rsidRDefault="009C2873" w:rsidP="009C287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017F74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10.750,82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83389F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25.700,00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1FD712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8.355,06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8AA6ED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77,72%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2D226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32,51%</w:t>
            </w:r>
          </w:p>
        </w:tc>
      </w:tr>
      <w:tr w:rsidR="009C2873" w:rsidRPr="009C2873" w14:paraId="2A90B60C" w14:textId="77777777" w:rsidTr="009C287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E7907F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372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9F2877" w14:textId="77777777" w:rsidR="009C2873" w:rsidRPr="009C2873" w:rsidRDefault="009C2873" w:rsidP="009C287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Ostale naknade građanima i kućanstvima iz proračuna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E005EA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10.750,82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4FD40D" w14:textId="77777777" w:rsidR="009C2873" w:rsidRPr="009C2873" w:rsidRDefault="009C2873" w:rsidP="009C287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86BBBB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8.355,06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DCD9F0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77,72%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1A055" w14:textId="77777777" w:rsidR="009C2873" w:rsidRPr="009C2873" w:rsidRDefault="009C2873" w:rsidP="009C287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C2873" w:rsidRPr="009C2873" w14:paraId="3FECD9F7" w14:textId="77777777" w:rsidTr="009C287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A4A3AF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3721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282254" w14:textId="77777777" w:rsidR="009C2873" w:rsidRPr="009C2873" w:rsidRDefault="009C2873" w:rsidP="009C287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Naknade građanima i kućanstvima u novcu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B9BB5E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8.070,01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55F098" w14:textId="77777777" w:rsidR="009C2873" w:rsidRPr="009C2873" w:rsidRDefault="009C2873" w:rsidP="009C287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FBE330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5.699,60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479ED4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70,63%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4DE31" w14:textId="77777777" w:rsidR="009C2873" w:rsidRPr="009C2873" w:rsidRDefault="009C2873" w:rsidP="009C287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C2873" w:rsidRPr="009C2873" w14:paraId="45D2F685" w14:textId="77777777" w:rsidTr="009C2873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729C3D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3722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E0C340" w14:textId="77777777" w:rsidR="009C2873" w:rsidRPr="009C2873" w:rsidRDefault="009C2873" w:rsidP="009C287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Naknade građanima i kućanstvima u naravi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AF4816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2.680,81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6D6C08" w14:textId="77777777" w:rsidR="009C2873" w:rsidRPr="009C2873" w:rsidRDefault="009C2873" w:rsidP="009C287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D62214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2.655,46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E65BCA" w14:textId="77777777" w:rsidR="009C2873" w:rsidRPr="009C2873" w:rsidRDefault="009C2873" w:rsidP="009C287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99,05%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C3E68" w14:textId="77777777" w:rsidR="009C2873" w:rsidRPr="009C2873" w:rsidRDefault="009C2873" w:rsidP="009C287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C287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2F08657F" w14:textId="7DE0A041" w:rsidR="00090D6F" w:rsidRPr="00090D6F" w:rsidRDefault="00090D6F" w:rsidP="00090D6F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90D6F">
        <w:rPr>
          <w:rFonts w:cstheme="minorHAnsi"/>
          <w:sz w:val="22"/>
          <w:szCs w:val="22"/>
        </w:rPr>
        <w:t xml:space="preserve">Naknade građanima i kućanstvima obuhvaćaju naknade građanima u novcu i naravi a odnose se na sufinanciranje troškova </w:t>
      </w:r>
      <w:r w:rsidR="000729BA">
        <w:rPr>
          <w:rFonts w:cstheme="minorHAnsi"/>
          <w:sz w:val="22"/>
          <w:szCs w:val="22"/>
        </w:rPr>
        <w:t>stanovanja sukladno Odluci o socijalnoj skrbi</w:t>
      </w:r>
      <w:r w:rsidRPr="00090D6F">
        <w:rPr>
          <w:rFonts w:cstheme="minorHAnsi"/>
          <w:sz w:val="22"/>
          <w:szCs w:val="22"/>
        </w:rPr>
        <w:t xml:space="preserve">, </w:t>
      </w:r>
      <w:r w:rsidR="000729BA">
        <w:rPr>
          <w:rFonts w:cstheme="minorHAnsi"/>
          <w:sz w:val="22"/>
          <w:szCs w:val="22"/>
        </w:rPr>
        <w:t xml:space="preserve">kao i </w:t>
      </w:r>
      <w:proofErr w:type="spellStart"/>
      <w:r w:rsidRPr="00090D6F">
        <w:rPr>
          <w:rFonts w:cstheme="minorHAnsi"/>
          <w:sz w:val="22"/>
          <w:szCs w:val="22"/>
        </w:rPr>
        <w:t>porodiljne</w:t>
      </w:r>
      <w:proofErr w:type="spellEnd"/>
      <w:r w:rsidRPr="00090D6F">
        <w:rPr>
          <w:rFonts w:cstheme="minorHAnsi"/>
          <w:sz w:val="22"/>
          <w:szCs w:val="22"/>
        </w:rPr>
        <w:t xml:space="preserve"> naknade. </w:t>
      </w:r>
    </w:p>
    <w:p w14:paraId="2C8ECFE8" w14:textId="626A0730" w:rsidR="00090D6F" w:rsidRDefault="00090D6F" w:rsidP="00090D6F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90D6F">
        <w:rPr>
          <w:rFonts w:cstheme="minorHAnsi"/>
          <w:sz w:val="22"/>
          <w:szCs w:val="22"/>
        </w:rPr>
        <w:t xml:space="preserve">Ova stavka također obuhvaća sufinanciranje prijevoza učenika, </w:t>
      </w:r>
      <w:r w:rsidR="00ED1219">
        <w:rPr>
          <w:rFonts w:cstheme="minorHAnsi"/>
          <w:sz w:val="22"/>
          <w:szCs w:val="22"/>
        </w:rPr>
        <w:t xml:space="preserve">te </w:t>
      </w:r>
      <w:proofErr w:type="spellStart"/>
      <w:r w:rsidRPr="00090D6F">
        <w:rPr>
          <w:rFonts w:cstheme="minorHAnsi"/>
          <w:sz w:val="22"/>
          <w:szCs w:val="22"/>
        </w:rPr>
        <w:t>uskrsnice</w:t>
      </w:r>
      <w:proofErr w:type="spellEnd"/>
      <w:r w:rsidRPr="00090D6F">
        <w:rPr>
          <w:rFonts w:cstheme="minorHAnsi"/>
          <w:sz w:val="22"/>
          <w:szCs w:val="22"/>
        </w:rPr>
        <w:t xml:space="preserve"> umirovljenicima.</w:t>
      </w:r>
    </w:p>
    <w:p w14:paraId="074F3A94" w14:textId="77777777" w:rsidR="00C21516" w:rsidRPr="00000576" w:rsidRDefault="00C21516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555DCC3D" w14:textId="37B00937" w:rsidR="00223645" w:rsidRPr="00CD1979" w:rsidRDefault="00CD1979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2" w:name="_Toc144891698"/>
      <w:r w:rsidRPr="00CD1979">
        <w:rPr>
          <w:b/>
          <w:caps w:val="0"/>
          <w:sz w:val="22"/>
        </w:rPr>
        <w:t>Ostali rashodi</w:t>
      </w:r>
      <w:bookmarkEnd w:id="22"/>
    </w:p>
    <w:p w14:paraId="0A711129" w14:textId="0A23FED0" w:rsidR="003B4D0E" w:rsidRPr="00EE7E0D" w:rsidRDefault="003B4D0E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EE7E0D">
        <w:rPr>
          <w:rFonts w:cstheme="minorHAnsi"/>
          <w:sz w:val="22"/>
          <w:szCs w:val="22"/>
        </w:rPr>
        <w:t xml:space="preserve">Ostali rashodi su kroz tekuće donacije realizirani u iznosu od </w:t>
      </w:r>
      <w:r w:rsidR="00ED1219" w:rsidRPr="00ED1219">
        <w:rPr>
          <w:rFonts w:cstheme="minorHAnsi"/>
          <w:sz w:val="22"/>
          <w:szCs w:val="22"/>
        </w:rPr>
        <w:t>4.862,00</w:t>
      </w:r>
      <w:r w:rsidR="00161D46">
        <w:rPr>
          <w:rFonts w:cstheme="minorHAnsi"/>
          <w:sz w:val="22"/>
          <w:szCs w:val="22"/>
        </w:rPr>
        <w:t xml:space="preserve"> eura</w:t>
      </w:r>
      <w:r w:rsidR="001003E5" w:rsidRPr="00EE7E0D">
        <w:rPr>
          <w:rFonts w:cstheme="minorHAnsi"/>
          <w:sz w:val="22"/>
          <w:szCs w:val="22"/>
        </w:rPr>
        <w:t xml:space="preserve">, </w:t>
      </w:r>
      <w:r w:rsidR="00161D46">
        <w:rPr>
          <w:rFonts w:cstheme="minorHAnsi"/>
          <w:sz w:val="22"/>
          <w:szCs w:val="22"/>
        </w:rPr>
        <w:t xml:space="preserve">a realizirano je </w:t>
      </w:r>
      <w:r w:rsidR="00ED1219">
        <w:rPr>
          <w:rFonts w:cstheme="minorHAnsi"/>
          <w:sz w:val="22"/>
          <w:szCs w:val="22"/>
        </w:rPr>
        <w:t>15,89</w:t>
      </w:r>
      <w:r w:rsidR="00161D46">
        <w:rPr>
          <w:rFonts w:cstheme="minorHAnsi"/>
          <w:sz w:val="22"/>
          <w:szCs w:val="22"/>
        </w:rPr>
        <w:t>% Plana za 202</w:t>
      </w:r>
      <w:r w:rsidR="00ED1219">
        <w:rPr>
          <w:rFonts w:cstheme="minorHAnsi"/>
          <w:sz w:val="22"/>
          <w:szCs w:val="22"/>
        </w:rPr>
        <w:t>4</w:t>
      </w:r>
      <w:r w:rsidR="00161D46">
        <w:rPr>
          <w:rFonts w:cstheme="minorHAnsi"/>
          <w:sz w:val="22"/>
          <w:szCs w:val="22"/>
        </w:rPr>
        <w:t>. godinu</w:t>
      </w:r>
      <w:r w:rsidR="00ED1219">
        <w:rPr>
          <w:rFonts w:cstheme="minorHAnsi"/>
          <w:sz w:val="22"/>
          <w:szCs w:val="22"/>
        </w:rPr>
        <w:t>, te su 79,58% manje u odnosu na isto razdoblje prošle godine zbog drugačije dinamike isplata.</w:t>
      </w:r>
      <w:r w:rsidRPr="00EE7E0D">
        <w:rPr>
          <w:rFonts w:cstheme="minorHAnsi"/>
          <w:sz w:val="22"/>
          <w:szCs w:val="22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4465"/>
        <w:gridCol w:w="1123"/>
        <w:gridCol w:w="1123"/>
        <w:gridCol w:w="1330"/>
        <w:gridCol w:w="849"/>
        <w:gridCol w:w="822"/>
      </w:tblGrid>
      <w:tr w:rsidR="00ED1219" w:rsidRPr="00ED1219" w14:paraId="4F60164C" w14:textId="77777777" w:rsidTr="00ED1219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354C295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5B995D6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BB60610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1136D0E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14B725F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66FA0DF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B61B5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ED1219" w:rsidRPr="00ED1219" w14:paraId="660E7727" w14:textId="77777777" w:rsidTr="00ED1219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4444EA2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B895B58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F82052E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A0D70C1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0AB7B0C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D9C5A84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496E04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ED1219" w:rsidRPr="00ED1219" w14:paraId="11275532" w14:textId="77777777" w:rsidTr="00ED1219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FDFBFE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B91D88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rashodi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AED794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23.812,00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911531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30.600,00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E6DD21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4.862,00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BE1D25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20,42%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0EC56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15,89%</w:t>
            </w:r>
          </w:p>
        </w:tc>
      </w:tr>
      <w:tr w:rsidR="00ED1219" w:rsidRPr="00ED1219" w14:paraId="1382A979" w14:textId="77777777" w:rsidTr="00ED1219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FC0A40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381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21FDBC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Tekuće donacije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0FEFE3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23.812,00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72A218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C14942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4.862,00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246150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20,42%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608F6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D1219" w:rsidRPr="00ED1219" w14:paraId="3E4A6E94" w14:textId="77777777" w:rsidTr="00ED1219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AC5436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3811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275981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Tekuće donacije u novcu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A1AB6A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23.812,00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39DD99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F6F320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4.862,00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D9E378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20,42%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8726D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145F05F5" w14:textId="5A4CD2C8" w:rsidR="00DA1896" w:rsidRDefault="00ED1219" w:rsidP="00ED121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Tekućim donacijama se financira</w:t>
      </w:r>
      <w:r>
        <w:rPr>
          <w:rFonts w:cstheme="minorHAnsi"/>
          <w:sz w:val="22"/>
          <w:szCs w:val="22"/>
        </w:rPr>
        <w:t>ju</w:t>
      </w:r>
      <w:r w:rsidRPr="00000576">
        <w:rPr>
          <w:rFonts w:cstheme="minorHAnsi"/>
          <w:sz w:val="22"/>
          <w:szCs w:val="22"/>
        </w:rPr>
        <w:t xml:space="preserve"> javne </w:t>
      </w:r>
      <w:r>
        <w:rPr>
          <w:rFonts w:cstheme="minorHAnsi"/>
          <w:sz w:val="22"/>
          <w:szCs w:val="22"/>
        </w:rPr>
        <w:t>potrebe u kulturi i</w:t>
      </w:r>
      <w:r w:rsidRPr="00000576">
        <w:rPr>
          <w:rFonts w:cstheme="minorHAnsi"/>
          <w:sz w:val="22"/>
          <w:szCs w:val="22"/>
        </w:rPr>
        <w:t xml:space="preserve"> sportu, te rad humanitarnih, vjerskih, protupožarnih i ostalih udruga.</w:t>
      </w:r>
    </w:p>
    <w:p w14:paraId="503F3B84" w14:textId="77777777" w:rsidR="00ED1219" w:rsidRPr="00000576" w:rsidRDefault="00ED1219" w:rsidP="00000576">
      <w:pPr>
        <w:spacing w:before="0" w:after="120" w:line="240" w:lineRule="auto"/>
        <w:rPr>
          <w:rFonts w:cstheme="minorHAnsi"/>
          <w:sz w:val="22"/>
          <w:szCs w:val="22"/>
        </w:rPr>
      </w:pPr>
    </w:p>
    <w:p w14:paraId="46E5CB18" w14:textId="1895B98D" w:rsidR="009A018B" w:rsidRPr="002C7635" w:rsidRDefault="002C7635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3" w:name="_Toc144891699"/>
      <w:r w:rsidRPr="002C7635">
        <w:rPr>
          <w:b/>
          <w:caps w:val="0"/>
          <w:sz w:val="22"/>
        </w:rPr>
        <w:t xml:space="preserve">Rashodi za nabavu </w:t>
      </w:r>
      <w:proofErr w:type="spellStart"/>
      <w:r w:rsidRPr="002C7635">
        <w:rPr>
          <w:b/>
          <w:caps w:val="0"/>
          <w:sz w:val="22"/>
        </w:rPr>
        <w:t>neproizvedene</w:t>
      </w:r>
      <w:proofErr w:type="spellEnd"/>
      <w:r w:rsidRPr="002C7635">
        <w:rPr>
          <w:b/>
          <w:caps w:val="0"/>
          <w:sz w:val="22"/>
        </w:rPr>
        <w:t xml:space="preserve"> dugotrajne imovine</w:t>
      </w:r>
      <w:bookmarkEnd w:id="23"/>
    </w:p>
    <w:p w14:paraId="78AD2292" w14:textId="17D278B1" w:rsidR="009A018B" w:rsidRDefault="009A018B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Rashodi za nabavu </w:t>
      </w:r>
      <w:proofErr w:type="spellStart"/>
      <w:r w:rsidRPr="00000576">
        <w:rPr>
          <w:rFonts w:cstheme="minorHAnsi"/>
          <w:sz w:val="22"/>
          <w:szCs w:val="22"/>
        </w:rPr>
        <w:t>neproizvedene</w:t>
      </w:r>
      <w:proofErr w:type="spellEnd"/>
      <w:r w:rsidRPr="00000576">
        <w:rPr>
          <w:rFonts w:cstheme="minorHAnsi"/>
          <w:sz w:val="22"/>
          <w:szCs w:val="22"/>
        </w:rPr>
        <w:t xml:space="preserve"> dugotrajne imovine </w:t>
      </w:r>
      <w:r w:rsidR="00ED1219">
        <w:rPr>
          <w:rFonts w:cstheme="minorHAnsi"/>
          <w:sz w:val="22"/>
          <w:szCs w:val="22"/>
        </w:rPr>
        <w:t>nisu ostvareni u promatranom razdoblju</w:t>
      </w:r>
      <w:r w:rsidR="00E83246" w:rsidRPr="00000576">
        <w:rPr>
          <w:rFonts w:cstheme="minorHAnsi"/>
          <w:sz w:val="22"/>
          <w:szCs w:val="22"/>
        </w:rPr>
        <w:t xml:space="preserve">.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5"/>
        <w:gridCol w:w="4464"/>
        <w:gridCol w:w="1123"/>
        <w:gridCol w:w="1123"/>
        <w:gridCol w:w="1330"/>
        <w:gridCol w:w="849"/>
        <w:gridCol w:w="822"/>
      </w:tblGrid>
      <w:tr w:rsidR="00ED1219" w:rsidRPr="00ED1219" w14:paraId="2DDBF048" w14:textId="77777777" w:rsidTr="00ED1219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1B9A64E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A2DE85B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E37EC29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26BB989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9B9920B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F24583C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59BE08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ED1219" w:rsidRPr="00ED1219" w14:paraId="53BDCB8B" w14:textId="77777777" w:rsidTr="00ED1219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99DB68C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2710222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246BB40F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2E777E4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4EF5ADE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D7DC5D9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1BEF73" w14:textId="77777777" w:rsidR="00ED1219" w:rsidRPr="00ED1219" w:rsidRDefault="00ED1219" w:rsidP="00ED121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ED1219" w:rsidRPr="00ED1219" w14:paraId="6C2D666F" w14:textId="77777777" w:rsidTr="00ED1219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367940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D6595A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Rashodi za nabavu </w:t>
            </w:r>
            <w:proofErr w:type="spellStart"/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neproizvedene</w:t>
            </w:r>
            <w:proofErr w:type="spellEnd"/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dugotrajne imovine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2EA802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6.100,49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F05E86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98.000,00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66EFA7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04C39D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15819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</w:tr>
      <w:tr w:rsidR="00ED1219" w:rsidRPr="00ED1219" w14:paraId="6459D1A1" w14:textId="77777777" w:rsidTr="00ED1219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BFA8BC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411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B90A3D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Materijalna imovina - prirodna bogatstva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CAAD1D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6.100,49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5FFB0A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2E8FBE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4D2F17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42846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D1219" w:rsidRPr="00ED1219" w14:paraId="098B0F58" w14:textId="77777777" w:rsidTr="00ED1219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CC0346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4111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A682F4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Zemljište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FA7B0B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6.100,49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4F3BE1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B8CE87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D7D5D4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0,00%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30D1D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D1219" w:rsidRPr="00ED1219" w14:paraId="4790AAC2" w14:textId="77777777" w:rsidTr="00ED1219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D85579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412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53C6C5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Nematerijalna imovina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FD35CE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05E931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CFCFF8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6A4EC3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C575F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D1219" w:rsidRPr="00ED1219" w14:paraId="34093FD1" w14:textId="77777777" w:rsidTr="00ED1219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F3A6C0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4126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50D82A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Ostala nematerijalna imovina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817085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C646B4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933D8E" w14:textId="77777777" w:rsidR="00ED1219" w:rsidRPr="00ED1219" w:rsidRDefault="00ED1219" w:rsidP="00ED121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AD6C71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60E8F" w14:textId="77777777" w:rsidR="00ED1219" w:rsidRPr="00ED1219" w:rsidRDefault="00ED1219" w:rsidP="00ED121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D121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63C1F9E7" w14:textId="77777777" w:rsidR="00EF5E3E" w:rsidRPr="00000576" w:rsidRDefault="00EF5E3E" w:rsidP="006C052C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1942F6C4" w14:textId="2149BB94" w:rsidR="004F457C" w:rsidRPr="002C7635" w:rsidRDefault="002C7635" w:rsidP="00165728">
      <w:pPr>
        <w:pStyle w:val="Naslov3"/>
        <w:numPr>
          <w:ilvl w:val="2"/>
          <w:numId w:val="4"/>
        </w:numPr>
        <w:spacing w:before="0" w:after="120"/>
        <w:ind w:left="561"/>
        <w:rPr>
          <w:b/>
          <w:sz w:val="22"/>
        </w:rPr>
      </w:pPr>
      <w:bookmarkStart w:id="24" w:name="_Toc144891700"/>
      <w:r w:rsidRPr="002C7635">
        <w:rPr>
          <w:b/>
          <w:caps w:val="0"/>
          <w:sz w:val="22"/>
        </w:rPr>
        <w:lastRenderedPageBreak/>
        <w:t>Rashodi za nabavu proizvedene dugotrajne imovine</w:t>
      </w:r>
      <w:bookmarkEnd w:id="24"/>
    </w:p>
    <w:p w14:paraId="2C04516A" w14:textId="02A65C81" w:rsidR="00784033" w:rsidRDefault="004F457C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Rashodi za nabavu proizvedene dugotrajne imovine ostvareni su u iznosu od</w:t>
      </w:r>
      <w:r w:rsidR="00EF5E3E">
        <w:rPr>
          <w:rFonts w:cstheme="minorHAnsi"/>
          <w:sz w:val="22"/>
          <w:szCs w:val="22"/>
        </w:rPr>
        <w:t xml:space="preserve"> </w:t>
      </w:r>
      <w:r w:rsidR="003B3C82" w:rsidRPr="003B3C82">
        <w:rPr>
          <w:rFonts w:cstheme="minorHAnsi"/>
          <w:sz w:val="22"/>
          <w:szCs w:val="22"/>
        </w:rPr>
        <w:t>162.562,78</w:t>
      </w:r>
      <w:r w:rsidR="008101CD">
        <w:rPr>
          <w:rFonts w:cstheme="minorHAnsi"/>
          <w:sz w:val="22"/>
          <w:szCs w:val="22"/>
        </w:rPr>
        <w:t xml:space="preserve"> eura</w:t>
      </w:r>
      <w:r w:rsidRPr="00000576">
        <w:rPr>
          <w:rFonts w:cstheme="minorHAnsi"/>
          <w:sz w:val="22"/>
          <w:szCs w:val="22"/>
        </w:rPr>
        <w:t xml:space="preserve">, a odnose se na izgradnju  objekata komunalne </w:t>
      </w:r>
      <w:r w:rsidR="00784033">
        <w:rPr>
          <w:rFonts w:cstheme="minorHAnsi"/>
          <w:sz w:val="22"/>
          <w:szCs w:val="22"/>
        </w:rPr>
        <w:t xml:space="preserve">i društvene </w:t>
      </w:r>
      <w:r w:rsidRPr="00000576">
        <w:rPr>
          <w:rFonts w:cstheme="minorHAnsi"/>
          <w:sz w:val="22"/>
          <w:szCs w:val="22"/>
        </w:rPr>
        <w:t>infrastrukture</w:t>
      </w:r>
      <w:r w:rsidR="003B3C82">
        <w:rPr>
          <w:rFonts w:cstheme="minorHAnsi"/>
          <w:sz w:val="22"/>
          <w:szCs w:val="22"/>
        </w:rPr>
        <w:t>, te nabavu opreme.</w:t>
      </w:r>
    </w:p>
    <w:p w14:paraId="089FC5A0" w14:textId="0643D97C" w:rsidR="00FE1252" w:rsidRDefault="00FE125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Po ovoj stavci </w:t>
      </w:r>
      <w:r w:rsidR="002C4342" w:rsidRPr="00000576">
        <w:rPr>
          <w:rFonts w:cstheme="minorHAnsi"/>
          <w:sz w:val="22"/>
          <w:szCs w:val="22"/>
        </w:rPr>
        <w:t>realizirano je</w:t>
      </w:r>
      <w:r w:rsidRPr="00000576">
        <w:rPr>
          <w:rFonts w:cstheme="minorHAnsi"/>
          <w:sz w:val="22"/>
          <w:szCs w:val="22"/>
        </w:rPr>
        <w:t xml:space="preserve"> </w:t>
      </w:r>
      <w:r w:rsidR="003B3C82">
        <w:rPr>
          <w:rFonts w:cstheme="minorHAnsi"/>
          <w:sz w:val="22"/>
          <w:szCs w:val="22"/>
        </w:rPr>
        <w:t>11,91</w:t>
      </w:r>
      <w:r w:rsidRPr="00000576">
        <w:rPr>
          <w:rFonts w:cstheme="minorHAnsi"/>
          <w:sz w:val="22"/>
          <w:szCs w:val="22"/>
        </w:rPr>
        <w:t xml:space="preserve">% </w:t>
      </w:r>
      <w:r w:rsidR="003B3C82">
        <w:rPr>
          <w:rFonts w:cstheme="minorHAnsi"/>
          <w:sz w:val="22"/>
          <w:szCs w:val="22"/>
        </w:rPr>
        <w:t>Plana za 2024. godinu.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"/>
        <w:gridCol w:w="4517"/>
        <w:gridCol w:w="1025"/>
        <w:gridCol w:w="1186"/>
        <w:gridCol w:w="1280"/>
        <w:gridCol w:w="916"/>
        <w:gridCol w:w="811"/>
      </w:tblGrid>
      <w:tr w:rsidR="003B3C82" w:rsidRPr="003B3C82" w14:paraId="2BB14A73" w14:textId="77777777" w:rsidTr="003B3C82">
        <w:trPr>
          <w:trHeight w:val="22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C3D59F6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8B12BC0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1FE8487B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D316775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B5AC600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46AC751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6D35AF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3B3C82" w:rsidRPr="003B3C82" w14:paraId="0E60E7FB" w14:textId="77777777" w:rsidTr="003B3C82">
        <w:trPr>
          <w:trHeight w:val="22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B81E961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1E312A4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F4F06B5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5C0FB29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7703095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604920D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63F954" w14:textId="77777777" w:rsidR="003B3C82" w:rsidRPr="003B3C82" w:rsidRDefault="003B3C82" w:rsidP="003B3C8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3B3C82" w:rsidRPr="003B3C82" w14:paraId="50D63594" w14:textId="77777777" w:rsidTr="003B3C82">
        <w:trPr>
          <w:trHeight w:val="22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B04134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C24A80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B0C57A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25.296,06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949CE8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1.365.100,00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5443FA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162.562,78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C0A38A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642,64%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EB72D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11,91%</w:t>
            </w:r>
          </w:p>
        </w:tc>
      </w:tr>
      <w:tr w:rsidR="003B3C82" w:rsidRPr="003B3C82" w14:paraId="5A0C2B48" w14:textId="77777777" w:rsidTr="003B3C82">
        <w:trPr>
          <w:trHeight w:val="22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D24EE6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421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29A91E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Građevinski objekti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49BC65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25.296,06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CD0FA9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DE9D3E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151.623,26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430306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599,39%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80387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B3C82" w:rsidRPr="003B3C82" w14:paraId="0DF0B2F6" w14:textId="77777777" w:rsidTr="003B3C82">
        <w:trPr>
          <w:trHeight w:val="22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E54FCF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4212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338C32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Poslovni objekti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962564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5.568,81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255540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4475FB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91.923,07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6EF03A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1650,68%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2DD4D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B3C82" w:rsidRPr="003B3C82" w14:paraId="564B6E87" w14:textId="77777777" w:rsidTr="003B3C82">
        <w:trPr>
          <w:trHeight w:val="22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0E2EA1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4213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1FB738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Ceste, željeznice i ostali prometni objekti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C4CC4A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19.727,25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DE10C4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361FE4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59.700,19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72753A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302,63%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7EE3E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B3C82" w:rsidRPr="003B3C82" w14:paraId="3EE1312F" w14:textId="77777777" w:rsidTr="003B3C82">
        <w:trPr>
          <w:trHeight w:val="22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DC1F1D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4214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A26EDA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Ostali građevinski objekti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83A0CD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BC98C4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3D44D5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8690F9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46205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B3C82" w:rsidRPr="003B3C82" w14:paraId="26B061C1" w14:textId="77777777" w:rsidTr="003B3C82">
        <w:trPr>
          <w:trHeight w:val="22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28A9F8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422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0D7D64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Postrojenja i oprema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902732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3C4FAD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C9879F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10.939,52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64CE8F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4F7BA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B3C82" w:rsidRPr="003B3C82" w14:paraId="22620ECD" w14:textId="77777777" w:rsidTr="003B3C82">
        <w:trPr>
          <w:trHeight w:val="22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A2F204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4221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2B798B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Uredska oprema i namještaj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E2872A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681C8A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1BC283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01D00A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6EF2A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B3C82" w:rsidRPr="003B3C82" w14:paraId="6AC13ABC" w14:textId="77777777" w:rsidTr="003B3C82">
        <w:trPr>
          <w:trHeight w:val="22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DEA1B8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4222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EEE21D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Komunikacijska oprema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655D4E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B97351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89DF8A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51874D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06A77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B3C82" w:rsidRPr="003B3C82" w14:paraId="17095C7C" w14:textId="77777777" w:rsidTr="003B3C82">
        <w:trPr>
          <w:trHeight w:val="22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F72088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4223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A7B9E7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Oprema za održavanje i zaštitu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93AB1C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1822FF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035199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5E46ED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3E51C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B3C82" w:rsidRPr="003B3C82" w14:paraId="7B1EDC36" w14:textId="77777777" w:rsidTr="003B3C82">
        <w:trPr>
          <w:trHeight w:val="227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2DB785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4227</w:t>
            </w:r>
          </w:p>
        </w:tc>
        <w:tc>
          <w:tcPr>
            <w:tcW w:w="2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E6452E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Uređaji, strojevi i oprema za ostale namjene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F8C3B6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78FA53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2840DC" w14:textId="77777777" w:rsidR="003B3C82" w:rsidRPr="003B3C82" w:rsidRDefault="003B3C82" w:rsidP="003B3C8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10.939,52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4CF164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56F62" w14:textId="77777777" w:rsidR="003B3C82" w:rsidRPr="003B3C82" w:rsidRDefault="003B3C82" w:rsidP="003B3C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B3C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5003CF8D" w14:textId="60997DBF" w:rsidR="00725638" w:rsidRPr="00000576" w:rsidRDefault="003B3C82" w:rsidP="003A4D0F">
      <w:pPr>
        <w:spacing w:before="120" w:after="120" w:line="240" w:lineRule="auto"/>
        <w:jc w:val="both"/>
        <w:rPr>
          <w:rFonts w:cstheme="minorHAnsi"/>
          <w:color w:val="FF0000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Pr="003B3C82">
        <w:rPr>
          <w:rFonts w:cstheme="minorHAnsi"/>
          <w:sz w:val="22"/>
          <w:szCs w:val="22"/>
        </w:rPr>
        <w:t>laganj</w:t>
      </w:r>
      <w:r>
        <w:rPr>
          <w:rFonts w:cstheme="minorHAnsi"/>
          <w:sz w:val="22"/>
          <w:szCs w:val="22"/>
        </w:rPr>
        <w:t>a</w:t>
      </w:r>
      <w:r w:rsidRPr="003B3C82">
        <w:rPr>
          <w:rFonts w:cstheme="minorHAnsi"/>
          <w:sz w:val="22"/>
          <w:szCs w:val="22"/>
        </w:rPr>
        <w:t xml:space="preserve"> u poslovne objekte odnos</w:t>
      </w:r>
      <w:r>
        <w:rPr>
          <w:rFonts w:cstheme="minorHAnsi"/>
          <w:sz w:val="22"/>
          <w:szCs w:val="22"/>
        </w:rPr>
        <w:t>e</w:t>
      </w:r>
      <w:r w:rsidRPr="003B3C82">
        <w:rPr>
          <w:rFonts w:cstheme="minorHAnsi"/>
          <w:sz w:val="22"/>
          <w:szCs w:val="22"/>
        </w:rPr>
        <w:t xml:space="preserve"> se na izgradnju višenamjenskog društvenog doma u Ovčari</w:t>
      </w:r>
      <w:r>
        <w:rPr>
          <w:rFonts w:cstheme="minorHAnsi"/>
          <w:sz w:val="22"/>
          <w:szCs w:val="22"/>
        </w:rPr>
        <w:t>,</w:t>
      </w:r>
      <w:r w:rsidRPr="003B3C8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 ulaganja</w:t>
      </w:r>
      <w:r w:rsidRPr="003B3C82">
        <w:rPr>
          <w:rFonts w:cstheme="minorHAnsi"/>
          <w:sz w:val="22"/>
          <w:szCs w:val="22"/>
        </w:rPr>
        <w:t xml:space="preserve"> u ceste i ostale prometne objekte</w:t>
      </w:r>
      <w:r>
        <w:rPr>
          <w:rFonts w:cstheme="minorHAnsi"/>
          <w:sz w:val="22"/>
          <w:szCs w:val="22"/>
        </w:rPr>
        <w:t xml:space="preserve"> odnosi se na</w:t>
      </w:r>
      <w:r w:rsidRPr="003B3C82">
        <w:rPr>
          <w:rFonts w:cstheme="minorHAnsi"/>
          <w:sz w:val="22"/>
          <w:szCs w:val="22"/>
        </w:rPr>
        <w:t xml:space="preserve"> sanaciju NC </w:t>
      </w:r>
      <w:proofErr w:type="spellStart"/>
      <w:r w:rsidRPr="003B3C82">
        <w:rPr>
          <w:rFonts w:cstheme="minorHAnsi"/>
          <w:sz w:val="22"/>
          <w:szCs w:val="22"/>
        </w:rPr>
        <w:t>Vračica</w:t>
      </w:r>
      <w:proofErr w:type="spellEnd"/>
      <w:r w:rsidRPr="003B3C82">
        <w:rPr>
          <w:rFonts w:cstheme="minorHAnsi"/>
          <w:sz w:val="22"/>
          <w:szCs w:val="22"/>
        </w:rPr>
        <w:t xml:space="preserve">, projektnu dokumentaciju za rekonstrukciju NC </w:t>
      </w:r>
      <w:proofErr w:type="spellStart"/>
      <w:r w:rsidRPr="003B3C82">
        <w:rPr>
          <w:rFonts w:cstheme="minorHAnsi"/>
          <w:sz w:val="22"/>
          <w:szCs w:val="22"/>
        </w:rPr>
        <w:t>Čenkovo</w:t>
      </w:r>
      <w:proofErr w:type="spellEnd"/>
      <w:r>
        <w:rPr>
          <w:rFonts w:cstheme="minorHAnsi"/>
          <w:sz w:val="22"/>
          <w:szCs w:val="22"/>
        </w:rPr>
        <w:t>,</w:t>
      </w:r>
      <w:r w:rsidRPr="003B3C82">
        <w:rPr>
          <w:rFonts w:cstheme="minorHAnsi"/>
          <w:sz w:val="22"/>
          <w:szCs w:val="22"/>
        </w:rPr>
        <w:t xml:space="preserve"> te izgradnju pješačkih staza u Paučju.</w:t>
      </w:r>
    </w:p>
    <w:p w14:paraId="3D3E3136" w14:textId="0C47EB9C" w:rsidR="006F0B47" w:rsidRPr="00952C2D" w:rsidRDefault="006F0B4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 xml:space="preserve">Rashodi za </w:t>
      </w:r>
      <w:r w:rsidR="00375BA8" w:rsidRPr="00000576">
        <w:rPr>
          <w:rFonts w:cstheme="minorHAnsi"/>
          <w:sz w:val="22"/>
          <w:szCs w:val="22"/>
        </w:rPr>
        <w:t>postrojenja i opre</w:t>
      </w:r>
      <w:r w:rsidR="00C74EB9" w:rsidRPr="00000576">
        <w:rPr>
          <w:rFonts w:cstheme="minorHAnsi"/>
          <w:sz w:val="22"/>
          <w:szCs w:val="22"/>
        </w:rPr>
        <w:t>mu</w:t>
      </w:r>
      <w:r w:rsidR="005240C8">
        <w:rPr>
          <w:rFonts w:cstheme="minorHAnsi"/>
          <w:sz w:val="22"/>
          <w:szCs w:val="22"/>
        </w:rPr>
        <w:t xml:space="preserve"> odnose se na nabavu dječjeg igrališta, turističke signalizacije i druge urbane opreme</w:t>
      </w:r>
      <w:r w:rsidR="00C10573" w:rsidRPr="00C10573">
        <w:rPr>
          <w:rFonts w:cstheme="minorHAnsi"/>
          <w:sz w:val="22"/>
          <w:szCs w:val="22"/>
        </w:rPr>
        <w:t>.</w:t>
      </w:r>
    </w:p>
    <w:p w14:paraId="7B2E5FF5" w14:textId="77777777" w:rsidR="00F4380C" w:rsidRPr="00000576" w:rsidRDefault="00F4380C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5E15CA6D" w14:textId="61853444" w:rsidR="00725638" w:rsidRPr="00BB3F52" w:rsidRDefault="00BB3F52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5" w:name="_Toc144891701"/>
      <w:r w:rsidRPr="00BB3F52">
        <w:rPr>
          <w:b/>
          <w:caps w:val="0"/>
          <w:sz w:val="22"/>
        </w:rPr>
        <w:t>Rashodi za dodatna ulaganja na nefinancijskoj imovini</w:t>
      </w:r>
      <w:bookmarkEnd w:id="25"/>
    </w:p>
    <w:p w14:paraId="0503AF43" w14:textId="6E4F5795" w:rsidR="00725638" w:rsidRDefault="00725638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Dodatna ulaganja na nefinancij</w:t>
      </w:r>
      <w:r w:rsidR="00C74EB9" w:rsidRPr="00000576">
        <w:rPr>
          <w:rFonts w:cstheme="minorHAnsi"/>
          <w:sz w:val="22"/>
          <w:szCs w:val="22"/>
        </w:rPr>
        <w:t>sk</w:t>
      </w:r>
      <w:r w:rsidR="00274319">
        <w:rPr>
          <w:rFonts w:cstheme="minorHAnsi"/>
          <w:sz w:val="22"/>
          <w:szCs w:val="22"/>
        </w:rPr>
        <w:t>oj</w:t>
      </w:r>
      <w:r w:rsidR="00C74EB9" w:rsidRPr="00000576">
        <w:rPr>
          <w:rFonts w:cstheme="minorHAnsi"/>
          <w:sz w:val="22"/>
          <w:szCs w:val="22"/>
        </w:rPr>
        <w:t xml:space="preserve"> imovin</w:t>
      </w:r>
      <w:r w:rsidR="00274319">
        <w:rPr>
          <w:rFonts w:cstheme="minorHAnsi"/>
          <w:sz w:val="22"/>
          <w:szCs w:val="22"/>
        </w:rPr>
        <w:t>i</w:t>
      </w:r>
      <w:r w:rsidR="00C74EB9" w:rsidRPr="00000576">
        <w:rPr>
          <w:rFonts w:cstheme="minorHAnsi"/>
          <w:sz w:val="22"/>
          <w:szCs w:val="22"/>
        </w:rPr>
        <w:t xml:space="preserve"> </w:t>
      </w:r>
      <w:r w:rsidR="00952C2D">
        <w:rPr>
          <w:rFonts w:cstheme="minorHAnsi"/>
          <w:sz w:val="22"/>
          <w:szCs w:val="22"/>
        </w:rPr>
        <w:t>realizirana</w:t>
      </w:r>
      <w:r w:rsidR="00274319">
        <w:rPr>
          <w:rFonts w:cstheme="minorHAnsi"/>
          <w:sz w:val="22"/>
          <w:szCs w:val="22"/>
        </w:rPr>
        <w:t xml:space="preserve"> su</w:t>
      </w:r>
      <w:r w:rsidR="00952C2D">
        <w:rPr>
          <w:rFonts w:cstheme="minorHAnsi"/>
          <w:sz w:val="22"/>
          <w:szCs w:val="22"/>
        </w:rPr>
        <w:t xml:space="preserve"> u</w:t>
      </w:r>
      <w:r w:rsidR="00784033">
        <w:rPr>
          <w:rFonts w:cstheme="minorHAnsi"/>
          <w:sz w:val="22"/>
          <w:szCs w:val="22"/>
        </w:rPr>
        <w:t xml:space="preserve"> prvoj polovici</w:t>
      </w:r>
      <w:r w:rsidR="00952C2D">
        <w:rPr>
          <w:rFonts w:cstheme="minorHAnsi"/>
          <w:sz w:val="22"/>
          <w:szCs w:val="22"/>
        </w:rPr>
        <w:t xml:space="preserve"> </w:t>
      </w:r>
      <w:r w:rsidR="004B16D8">
        <w:rPr>
          <w:rFonts w:cstheme="minorHAnsi"/>
          <w:sz w:val="22"/>
          <w:szCs w:val="22"/>
        </w:rPr>
        <w:t>202</w:t>
      </w:r>
      <w:r w:rsidR="005B786B">
        <w:rPr>
          <w:rFonts w:cstheme="minorHAnsi"/>
          <w:sz w:val="22"/>
          <w:szCs w:val="22"/>
        </w:rPr>
        <w:t>4</w:t>
      </w:r>
      <w:r w:rsidR="004B16D8">
        <w:rPr>
          <w:rFonts w:cstheme="minorHAnsi"/>
          <w:sz w:val="22"/>
          <w:szCs w:val="22"/>
        </w:rPr>
        <w:t>. godin</w:t>
      </w:r>
      <w:r w:rsidR="00784033">
        <w:rPr>
          <w:rFonts w:cstheme="minorHAnsi"/>
          <w:sz w:val="22"/>
          <w:szCs w:val="22"/>
        </w:rPr>
        <w:t>e</w:t>
      </w:r>
      <w:r w:rsidR="00274319">
        <w:rPr>
          <w:rFonts w:cstheme="minorHAnsi"/>
          <w:sz w:val="22"/>
          <w:szCs w:val="22"/>
        </w:rPr>
        <w:t xml:space="preserve"> u iznosu od </w:t>
      </w:r>
      <w:r w:rsidR="005B786B">
        <w:rPr>
          <w:rFonts w:cstheme="minorHAnsi"/>
          <w:sz w:val="22"/>
          <w:szCs w:val="22"/>
        </w:rPr>
        <w:t>1.700,00</w:t>
      </w:r>
      <w:r w:rsidR="00784033">
        <w:rPr>
          <w:rFonts w:cstheme="minorHAnsi"/>
          <w:sz w:val="22"/>
          <w:szCs w:val="22"/>
        </w:rPr>
        <w:t xml:space="preserve"> eura</w:t>
      </w:r>
      <w:r w:rsidR="00274319">
        <w:rPr>
          <w:rFonts w:cstheme="minorHAnsi"/>
          <w:sz w:val="22"/>
          <w:szCs w:val="22"/>
        </w:rPr>
        <w:t xml:space="preserve">, čime je ostvareno </w:t>
      </w:r>
      <w:r w:rsidR="005B786B">
        <w:rPr>
          <w:rFonts w:cstheme="minorHAnsi"/>
          <w:sz w:val="22"/>
          <w:szCs w:val="22"/>
        </w:rPr>
        <w:t>14,17</w:t>
      </w:r>
      <w:r w:rsidR="00274319">
        <w:rPr>
          <w:rFonts w:cstheme="minorHAnsi"/>
          <w:sz w:val="22"/>
          <w:szCs w:val="22"/>
        </w:rPr>
        <w:t>% Plana za 202</w:t>
      </w:r>
      <w:r w:rsidR="005B786B">
        <w:rPr>
          <w:rFonts w:cstheme="minorHAnsi"/>
          <w:sz w:val="22"/>
          <w:szCs w:val="22"/>
        </w:rPr>
        <w:t>4</w:t>
      </w:r>
      <w:r w:rsidR="00274319">
        <w:rPr>
          <w:rFonts w:cstheme="minorHAnsi"/>
          <w:sz w:val="22"/>
          <w:szCs w:val="22"/>
        </w:rPr>
        <w:t>. godinu.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4465"/>
        <w:gridCol w:w="1025"/>
        <w:gridCol w:w="1221"/>
        <w:gridCol w:w="1330"/>
        <w:gridCol w:w="849"/>
        <w:gridCol w:w="822"/>
      </w:tblGrid>
      <w:tr w:rsidR="005B786B" w:rsidRPr="00577BBE" w14:paraId="1E5DAB44" w14:textId="77777777" w:rsidTr="005B786B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51AE8C5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3460B6EB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D5617AE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AD764E5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4469A9A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3A5F811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2A49CB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5B786B" w:rsidRPr="00577BBE" w14:paraId="0B20AC4E" w14:textId="77777777" w:rsidTr="005B786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A80243A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0FA7459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34E6BC6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2896513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BF72AB8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042EC41E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267344" w14:textId="77777777" w:rsidR="00577BBE" w:rsidRPr="00577BBE" w:rsidRDefault="00577BBE" w:rsidP="00577BB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5B786B" w:rsidRPr="00577BBE" w14:paraId="0074B353" w14:textId="77777777" w:rsidTr="005B786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7EF370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45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4E1E5A" w14:textId="77777777" w:rsidR="00577BBE" w:rsidRPr="00577BBE" w:rsidRDefault="00577BBE" w:rsidP="00577BB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EF368B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22.557,42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B0C2FCA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12.000,00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92222F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1.700,00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36620F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7,54%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C8C07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14,17%</w:t>
            </w:r>
          </w:p>
        </w:tc>
      </w:tr>
      <w:tr w:rsidR="005B786B" w:rsidRPr="00577BBE" w14:paraId="67853A68" w14:textId="77777777" w:rsidTr="005B786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103545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451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D861CC" w14:textId="77777777" w:rsidR="00577BBE" w:rsidRPr="00577BBE" w:rsidRDefault="00577BBE" w:rsidP="00577BB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2CAA42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22.557,42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8C91B8" w14:textId="77777777" w:rsidR="00577BBE" w:rsidRPr="00577BBE" w:rsidRDefault="00577BBE" w:rsidP="00577BB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BF47B0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1.700,00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2E10E9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7,54%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BC304" w14:textId="77777777" w:rsidR="00577BBE" w:rsidRPr="00577BBE" w:rsidRDefault="00577BBE" w:rsidP="00577BB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B786B" w:rsidRPr="00577BBE" w14:paraId="4289B7CB" w14:textId="77777777" w:rsidTr="005B786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1E8C55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4511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FA8FF1" w14:textId="77777777" w:rsidR="00577BBE" w:rsidRPr="00577BBE" w:rsidRDefault="00577BBE" w:rsidP="00577BB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70DC28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22.557,42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BAA893" w14:textId="77777777" w:rsidR="00577BBE" w:rsidRPr="00577BBE" w:rsidRDefault="00577BBE" w:rsidP="00577BB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E1D22B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1.700,00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488009" w14:textId="77777777" w:rsidR="00577BBE" w:rsidRPr="00577BBE" w:rsidRDefault="00577BBE" w:rsidP="00577BBE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7,54%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48688" w14:textId="77777777" w:rsidR="00577BBE" w:rsidRPr="00577BBE" w:rsidRDefault="00577BBE" w:rsidP="00577BB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7BB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6B7EF0B3" w14:textId="5A9C4AB0" w:rsidR="00725638" w:rsidRDefault="00784033" w:rsidP="0027431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Ovi rashodi se u potpunosti odnose na d</w:t>
      </w:r>
      <w:r w:rsidR="00274319">
        <w:rPr>
          <w:rFonts w:cstheme="minorHAnsi"/>
          <w:sz w:val="22"/>
          <w:szCs w:val="22"/>
        </w:rPr>
        <w:t>odatna ulaganja na građevinskim objektima</w:t>
      </w:r>
      <w:r>
        <w:rPr>
          <w:rFonts w:cstheme="minorHAnsi"/>
          <w:sz w:val="22"/>
          <w:szCs w:val="22"/>
        </w:rPr>
        <w:t>,</w:t>
      </w:r>
      <w:r w:rsidR="00274319">
        <w:rPr>
          <w:rFonts w:cstheme="minorHAnsi"/>
          <w:sz w:val="22"/>
          <w:szCs w:val="22"/>
        </w:rPr>
        <w:t xml:space="preserve"> </w:t>
      </w:r>
      <w:r w:rsidR="003E543E">
        <w:rPr>
          <w:rFonts w:cstheme="minorHAnsi"/>
          <w:sz w:val="22"/>
          <w:szCs w:val="22"/>
        </w:rPr>
        <w:t xml:space="preserve">odnosno </w:t>
      </w:r>
      <w:r w:rsidR="005B786B">
        <w:rPr>
          <w:rFonts w:cstheme="minorHAnsi"/>
          <w:sz w:val="22"/>
          <w:szCs w:val="22"/>
        </w:rPr>
        <w:t xml:space="preserve">izrade sustava grijanja i hlađenja u društvenim domovima </w:t>
      </w:r>
      <w:proofErr w:type="spellStart"/>
      <w:r w:rsidR="005B786B">
        <w:rPr>
          <w:rFonts w:cstheme="minorHAnsi"/>
          <w:sz w:val="22"/>
          <w:szCs w:val="22"/>
        </w:rPr>
        <w:t>Breznica</w:t>
      </w:r>
      <w:proofErr w:type="spellEnd"/>
      <w:r w:rsidR="005B786B">
        <w:rPr>
          <w:rFonts w:cstheme="minorHAnsi"/>
          <w:sz w:val="22"/>
          <w:szCs w:val="22"/>
        </w:rPr>
        <w:t xml:space="preserve"> Đakovačka i Slobodna Vlast</w:t>
      </w:r>
      <w:r w:rsidR="003E543E">
        <w:rPr>
          <w:rFonts w:cstheme="minorHAnsi"/>
          <w:sz w:val="22"/>
          <w:szCs w:val="22"/>
        </w:rPr>
        <w:t>.</w:t>
      </w:r>
    </w:p>
    <w:p w14:paraId="05603994" w14:textId="77777777" w:rsidR="00274319" w:rsidRPr="00000576" w:rsidRDefault="00274319" w:rsidP="00274319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</w:p>
    <w:p w14:paraId="7FE4F06B" w14:textId="1361AFA6" w:rsidR="005C7CB5" w:rsidRPr="00BB3F52" w:rsidRDefault="00BB3F52" w:rsidP="00165728">
      <w:pPr>
        <w:pStyle w:val="Naslov3"/>
        <w:numPr>
          <w:ilvl w:val="2"/>
          <w:numId w:val="4"/>
        </w:numPr>
        <w:spacing w:before="0" w:after="120"/>
        <w:ind w:left="504"/>
        <w:rPr>
          <w:b/>
          <w:sz w:val="22"/>
        </w:rPr>
      </w:pPr>
      <w:bookmarkStart w:id="26" w:name="_Toc144891702"/>
      <w:r w:rsidRPr="00BB3F52">
        <w:rPr>
          <w:b/>
          <w:caps w:val="0"/>
          <w:sz w:val="22"/>
        </w:rPr>
        <w:t xml:space="preserve">Izdaci za </w:t>
      </w:r>
      <w:r w:rsidR="004B16D8">
        <w:rPr>
          <w:b/>
          <w:caps w:val="0"/>
          <w:sz w:val="22"/>
        </w:rPr>
        <w:t xml:space="preserve">financijsku imovinu i </w:t>
      </w:r>
      <w:r w:rsidRPr="00BB3F52">
        <w:rPr>
          <w:b/>
          <w:caps w:val="0"/>
          <w:sz w:val="22"/>
        </w:rPr>
        <w:t>otplat</w:t>
      </w:r>
      <w:r w:rsidR="004B16D8">
        <w:rPr>
          <w:b/>
          <w:caps w:val="0"/>
          <w:sz w:val="22"/>
        </w:rPr>
        <w:t>e</w:t>
      </w:r>
      <w:r w:rsidRPr="00BB3F52">
        <w:rPr>
          <w:b/>
          <w:caps w:val="0"/>
          <w:sz w:val="22"/>
        </w:rPr>
        <w:t xml:space="preserve"> zajmova</w:t>
      </w:r>
      <w:bookmarkEnd w:id="26"/>
    </w:p>
    <w:p w14:paraId="0CE84092" w14:textId="505ACAFA" w:rsidR="005C7CB5" w:rsidRDefault="00BB3F52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BB3F52">
        <w:rPr>
          <w:rFonts w:cstheme="minorHAnsi"/>
          <w:sz w:val="22"/>
          <w:szCs w:val="22"/>
        </w:rPr>
        <w:t xml:space="preserve">Izdaci za financijsku imovinu i otplate zajmova </w:t>
      </w:r>
      <w:r w:rsidR="00952C2D">
        <w:rPr>
          <w:rFonts w:cstheme="minorHAnsi"/>
          <w:sz w:val="22"/>
          <w:szCs w:val="22"/>
        </w:rPr>
        <w:t>realizirani</w:t>
      </w:r>
      <w:r w:rsidR="00E45B0C">
        <w:rPr>
          <w:rFonts w:cstheme="minorHAnsi"/>
          <w:sz w:val="22"/>
          <w:szCs w:val="22"/>
        </w:rPr>
        <w:t xml:space="preserve"> su</w:t>
      </w:r>
      <w:r w:rsidR="00952C2D">
        <w:rPr>
          <w:rFonts w:cstheme="minorHAnsi"/>
          <w:sz w:val="22"/>
          <w:szCs w:val="22"/>
        </w:rPr>
        <w:t xml:space="preserve"> u </w:t>
      </w:r>
      <w:r w:rsidR="00E45B0C">
        <w:rPr>
          <w:rFonts w:cstheme="minorHAnsi"/>
          <w:sz w:val="22"/>
          <w:szCs w:val="22"/>
        </w:rPr>
        <w:t xml:space="preserve">iznosu od </w:t>
      </w:r>
      <w:r w:rsidR="005B786B" w:rsidRPr="005B786B">
        <w:rPr>
          <w:rFonts w:cstheme="minorHAnsi"/>
          <w:sz w:val="22"/>
          <w:szCs w:val="22"/>
        </w:rPr>
        <w:t>34.066,15</w:t>
      </w:r>
      <w:r w:rsidR="003E543E">
        <w:rPr>
          <w:rFonts w:cstheme="minorHAnsi"/>
          <w:sz w:val="22"/>
          <w:szCs w:val="22"/>
        </w:rPr>
        <w:t xml:space="preserve"> eura</w:t>
      </w:r>
      <w:r w:rsidR="00E45B0C">
        <w:rPr>
          <w:rFonts w:cstheme="minorHAnsi"/>
          <w:sz w:val="22"/>
          <w:szCs w:val="22"/>
        </w:rPr>
        <w:t xml:space="preserve">, </w:t>
      </w:r>
      <w:r w:rsidR="004B16D8">
        <w:rPr>
          <w:rFonts w:cstheme="minorHAnsi"/>
          <w:sz w:val="22"/>
          <w:szCs w:val="22"/>
        </w:rPr>
        <w:t xml:space="preserve">čime je izvršeno </w:t>
      </w:r>
      <w:r w:rsidR="005B786B">
        <w:rPr>
          <w:rFonts w:cstheme="minorHAnsi"/>
          <w:sz w:val="22"/>
          <w:szCs w:val="22"/>
        </w:rPr>
        <w:t>5,33</w:t>
      </w:r>
      <w:r w:rsidR="004B16D8">
        <w:rPr>
          <w:rFonts w:cstheme="minorHAnsi"/>
          <w:sz w:val="22"/>
          <w:szCs w:val="22"/>
        </w:rPr>
        <w:t>% Plana za 202</w:t>
      </w:r>
      <w:r w:rsidR="005B786B">
        <w:rPr>
          <w:rFonts w:cstheme="minorHAnsi"/>
          <w:sz w:val="22"/>
          <w:szCs w:val="22"/>
        </w:rPr>
        <w:t>4</w:t>
      </w:r>
      <w:r w:rsidR="004B16D8">
        <w:rPr>
          <w:rFonts w:cstheme="minorHAnsi"/>
          <w:sz w:val="22"/>
          <w:szCs w:val="22"/>
        </w:rPr>
        <w:t>. godinu.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4"/>
        <w:gridCol w:w="4465"/>
        <w:gridCol w:w="1023"/>
        <w:gridCol w:w="1223"/>
        <w:gridCol w:w="1330"/>
        <w:gridCol w:w="849"/>
        <w:gridCol w:w="822"/>
      </w:tblGrid>
      <w:tr w:rsidR="005B786B" w:rsidRPr="005B786B" w14:paraId="45DEEA5B" w14:textId="77777777" w:rsidTr="005B786B">
        <w:trPr>
          <w:trHeight w:val="22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D1A40B3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Račun</w:t>
            </w:r>
          </w:p>
        </w:tc>
        <w:tc>
          <w:tcPr>
            <w:tcW w:w="2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331140E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Opis računa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CDB2ED6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Ostvarenje 2023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6FA081BC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Plan 2024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B9DF9C3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Ostvarenje 2024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7683A067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Indeks 5/3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AD8548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Indeks 5/4</w:t>
            </w:r>
          </w:p>
        </w:tc>
      </w:tr>
      <w:tr w:rsidR="005B786B" w:rsidRPr="005B786B" w14:paraId="0B65D9B6" w14:textId="77777777" w:rsidTr="005B786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3D17EAD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6F56F9D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0C7BFC9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A15757C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448EC70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5CA36F16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E97623" w14:textId="77777777" w:rsidR="005B786B" w:rsidRPr="005B786B" w:rsidRDefault="005B786B" w:rsidP="005B786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5B786B" w:rsidRPr="005B786B" w14:paraId="6D7BE2EE" w14:textId="77777777" w:rsidTr="005B786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5DC90C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F6B875" w14:textId="77777777" w:rsidR="005B786B" w:rsidRPr="005B786B" w:rsidRDefault="005B786B" w:rsidP="005B786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0F5E50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4.961,24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A1D5A3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638.900,00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8DBF5C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34.066,15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F2EA8A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686,65%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C79DC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5,33%</w:t>
            </w:r>
          </w:p>
        </w:tc>
      </w:tr>
      <w:tr w:rsidR="005B786B" w:rsidRPr="005B786B" w14:paraId="3149A18F" w14:textId="77777777" w:rsidTr="005B786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BDC7E3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54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AA1A05" w14:textId="77777777" w:rsidR="005B786B" w:rsidRPr="005B786B" w:rsidRDefault="005B786B" w:rsidP="005B786B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Izdaci za otplatu glavnice primljenih kredita i zajmova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B50163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4.961,24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032F6B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638.900,00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3F10D6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34.066,15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75A9F9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686,65%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69331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5,33%</w:t>
            </w:r>
          </w:p>
        </w:tc>
      </w:tr>
      <w:tr w:rsidR="005B786B" w:rsidRPr="005B786B" w14:paraId="4650F595" w14:textId="77777777" w:rsidTr="005B786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C7ADDC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544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65B2A1" w14:textId="77777777" w:rsidR="005B786B" w:rsidRPr="005B786B" w:rsidRDefault="005B786B" w:rsidP="00486E4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829EEE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18057F" w14:textId="77777777" w:rsidR="005B786B" w:rsidRPr="005B786B" w:rsidRDefault="005B786B" w:rsidP="005B78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97CEB4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26.529,64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E182A3" w14:textId="77777777" w:rsidR="005B786B" w:rsidRPr="005B786B" w:rsidRDefault="005B786B" w:rsidP="005B78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DB0B6" w14:textId="77777777" w:rsidR="005B786B" w:rsidRPr="005B786B" w:rsidRDefault="005B786B" w:rsidP="005B78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B786B" w:rsidRPr="005B786B" w14:paraId="207D4053" w14:textId="77777777" w:rsidTr="005B786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EA2933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5443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3B5BB9" w14:textId="77777777" w:rsidR="005B786B" w:rsidRPr="005B786B" w:rsidRDefault="005B786B" w:rsidP="00486E4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3AAC03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E5C6D4" w14:textId="77777777" w:rsidR="005B786B" w:rsidRPr="005B786B" w:rsidRDefault="005B786B" w:rsidP="005B78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09A7C0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26.529,64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7570F4" w14:textId="77777777" w:rsidR="005B786B" w:rsidRPr="005B786B" w:rsidRDefault="005B786B" w:rsidP="005B78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B1264" w14:textId="77777777" w:rsidR="005B786B" w:rsidRPr="005B786B" w:rsidRDefault="005B786B" w:rsidP="005B78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B786B" w:rsidRPr="005B786B" w14:paraId="14BBFC12" w14:textId="77777777" w:rsidTr="005B786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197A43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547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74021A" w14:textId="77777777" w:rsidR="005B786B" w:rsidRPr="005B786B" w:rsidRDefault="005B786B" w:rsidP="00486E4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Otplata glavnice primljenih zajmova od drugih razina vlasti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818E44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4.961,24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3BA0B1" w14:textId="77777777" w:rsidR="005B786B" w:rsidRPr="005B786B" w:rsidRDefault="005B786B" w:rsidP="005B78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9085E9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7.536,51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6E0CCA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151,91%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D96B8" w14:textId="77777777" w:rsidR="005B786B" w:rsidRPr="005B786B" w:rsidRDefault="005B786B" w:rsidP="005B78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B786B" w:rsidRPr="005B786B" w14:paraId="2D53F281" w14:textId="77777777" w:rsidTr="005B786B">
        <w:trPr>
          <w:trHeight w:val="227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C1EF52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5471</w:t>
            </w: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06D9C8" w14:textId="77777777" w:rsidR="005B786B" w:rsidRPr="005B786B" w:rsidRDefault="005B786B" w:rsidP="00486E41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Otplata glavnice primljenih zajmova od državnog proračuna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DDA1F4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4.961,24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9ACE61" w14:textId="77777777" w:rsidR="005B786B" w:rsidRPr="005B786B" w:rsidRDefault="005B786B" w:rsidP="005B78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EC36AE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7.536,51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FA8A14" w14:textId="77777777" w:rsidR="005B786B" w:rsidRPr="005B786B" w:rsidRDefault="005B786B" w:rsidP="005B786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151,91%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FE513" w14:textId="77777777" w:rsidR="005B786B" w:rsidRPr="005B786B" w:rsidRDefault="005B786B" w:rsidP="005B786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B78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18C97F45" w14:textId="7347A5FD" w:rsidR="004B16D8" w:rsidRDefault="00EC4BC7" w:rsidP="00EC4BC7">
      <w:pPr>
        <w:spacing w:before="120" w:after="120" w:line="240" w:lineRule="auto"/>
        <w:jc w:val="both"/>
        <w:rPr>
          <w:rFonts w:cstheme="minorHAnsi"/>
          <w:sz w:val="22"/>
          <w:szCs w:val="22"/>
        </w:rPr>
      </w:pPr>
      <w:r w:rsidRPr="00EC4BC7">
        <w:rPr>
          <w:rFonts w:cstheme="minorHAnsi"/>
          <w:sz w:val="22"/>
          <w:szCs w:val="22"/>
        </w:rPr>
        <w:t>Izdaci za otplatu glavnice primljenih kredita i zajmova odnose se</w:t>
      </w:r>
      <w:r w:rsidR="005B786B">
        <w:rPr>
          <w:rFonts w:cstheme="minorHAnsi"/>
          <w:sz w:val="22"/>
          <w:szCs w:val="22"/>
        </w:rPr>
        <w:t xml:space="preserve"> na</w:t>
      </w:r>
      <w:r w:rsidR="005B786B" w:rsidRPr="005B786B">
        <w:t xml:space="preserve"> </w:t>
      </w:r>
      <w:r w:rsidR="005B786B" w:rsidRPr="005B786B">
        <w:rPr>
          <w:rFonts w:cstheme="minorHAnsi"/>
          <w:sz w:val="22"/>
          <w:szCs w:val="22"/>
        </w:rPr>
        <w:t>otplatu glavnice dugoročnog kredita HBOR-a</w:t>
      </w:r>
      <w:r w:rsidR="005B786B">
        <w:rPr>
          <w:rFonts w:cstheme="minorHAnsi"/>
          <w:sz w:val="22"/>
          <w:szCs w:val="22"/>
        </w:rPr>
        <w:t>, te</w:t>
      </w:r>
      <w:r w:rsidRPr="00EC4BC7">
        <w:rPr>
          <w:rFonts w:cstheme="minorHAnsi"/>
          <w:sz w:val="22"/>
          <w:szCs w:val="22"/>
        </w:rPr>
        <w:t xml:space="preserve"> povrat dugovanja prema RH radi namirenja nedostajućih sredstava korištenih za izvršenje povrata poreza na dohodak</w:t>
      </w:r>
      <w:r w:rsidR="003E543E">
        <w:rPr>
          <w:rFonts w:cstheme="minorHAnsi"/>
          <w:sz w:val="22"/>
          <w:szCs w:val="22"/>
        </w:rPr>
        <w:t>.</w:t>
      </w:r>
    </w:p>
    <w:p w14:paraId="47405B04" w14:textId="77777777" w:rsidR="00EC4BC7" w:rsidRPr="00C67809" w:rsidRDefault="00EC4BC7" w:rsidP="00EC4BC7">
      <w:pPr>
        <w:spacing w:before="0" w:after="120" w:line="256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C67809">
        <w:rPr>
          <w:rFonts w:ascii="Calibri" w:eastAsia="Calibri" w:hAnsi="Calibri" w:cs="Times New Roman"/>
          <w:sz w:val="22"/>
          <w:szCs w:val="22"/>
        </w:rPr>
        <w:t>S time je završen pregled općeg dijela Proračuna, odnosno račun prihoda i rashoda, te financiranja.</w:t>
      </w:r>
    </w:p>
    <w:p w14:paraId="2860525D" w14:textId="77777777" w:rsidR="00EC4BC7" w:rsidRDefault="00EC4BC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6F894101" w14:textId="77777777" w:rsidR="00EC4BC7" w:rsidRDefault="00EC4BC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</w:p>
    <w:p w14:paraId="12447DD3" w14:textId="77777777" w:rsidR="00EC4BC7" w:rsidRDefault="00EC4BC7" w:rsidP="00000576">
      <w:pPr>
        <w:spacing w:before="0" w:after="120" w:line="240" w:lineRule="auto"/>
        <w:jc w:val="both"/>
        <w:rPr>
          <w:rFonts w:cstheme="minorHAnsi"/>
          <w:sz w:val="22"/>
          <w:szCs w:val="22"/>
        </w:rPr>
        <w:sectPr w:rsidR="00EC4BC7" w:rsidSect="00DA6E26">
          <w:footerReference w:type="default" r:id="rId10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4294554D" w14:textId="60161088" w:rsidR="00A5677F" w:rsidRPr="00691918" w:rsidRDefault="00A5677F" w:rsidP="00691918">
      <w:pPr>
        <w:pStyle w:val="Naslov1"/>
        <w:numPr>
          <w:ilvl w:val="0"/>
          <w:numId w:val="4"/>
        </w:numPr>
        <w:spacing w:before="0" w:after="120"/>
        <w:rPr>
          <w:b/>
          <w:lang w:eastAsia="hr-HR"/>
        </w:rPr>
      </w:pPr>
      <w:bookmarkStart w:id="27" w:name="_Toc144891703"/>
      <w:r w:rsidRPr="00691918">
        <w:rPr>
          <w:b/>
          <w:lang w:eastAsia="hr-HR"/>
        </w:rPr>
        <w:lastRenderedPageBreak/>
        <w:t>IZVJEŠTAJ O ZADUŽIVANJU NA DOMAĆEM I STRANOM TRŽIŠTU NOVCA I KAPITALA</w:t>
      </w:r>
      <w:bookmarkEnd w:id="27"/>
    </w:p>
    <w:p w14:paraId="645020EF" w14:textId="457305E1" w:rsidR="00E61EFC" w:rsidRP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  <w:r w:rsidRPr="00E61EFC">
        <w:rPr>
          <w:rFonts w:cstheme="minorHAnsi"/>
          <w:sz w:val="22"/>
          <w:szCs w:val="22"/>
          <w:lang w:eastAsia="hr-HR"/>
        </w:rPr>
        <w:t>Pravilnikom o polugodišnjem i godišnjem izvještaju o izvršenju proračuna (Narodne novine</w:t>
      </w:r>
      <w:r w:rsidR="00DD6C48">
        <w:rPr>
          <w:rFonts w:cstheme="minorHAnsi"/>
          <w:sz w:val="22"/>
          <w:szCs w:val="22"/>
          <w:lang w:eastAsia="hr-HR"/>
        </w:rPr>
        <w:t>,</w:t>
      </w:r>
      <w:r w:rsidRPr="00E61EFC">
        <w:rPr>
          <w:rFonts w:cstheme="minorHAnsi"/>
          <w:sz w:val="22"/>
          <w:szCs w:val="22"/>
          <w:lang w:eastAsia="hr-HR"/>
        </w:rPr>
        <w:t xml:space="preserve"> broj </w:t>
      </w:r>
      <w:r w:rsidR="00DD6C48">
        <w:rPr>
          <w:rFonts w:cstheme="minorHAnsi"/>
          <w:sz w:val="22"/>
          <w:szCs w:val="22"/>
          <w:lang w:eastAsia="hr-HR"/>
        </w:rPr>
        <w:t>85/23</w:t>
      </w:r>
      <w:r w:rsidRPr="00E61EFC">
        <w:rPr>
          <w:rFonts w:cstheme="minorHAnsi"/>
          <w:sz w:val="22"/>
          <w:szCs w:val="22"/>
          <w:lang w:eastAsia="hr-HR"/>
        </w:rPr>
        <w:t>), propisano je da Izvještaj o zaduživanju na domaćem i stranom tržištu novca i kapitala u izvještajnom razdoblju sadrži pregled zaduživanja koje je ugovorila jedinica lokalne i područne (regionalne) samouprave po vrsti instrumenata, valutnoj, kamatnoj i ročnoj strukturi te stanje obveza za vrijednosne papire, kredite i zajmove na početku i na kraju proračunske godine, kao i iznose otplata navedenih obveza raspoređene prema dospijeću u narednim godinama.</w:t>
      </w:r>
    </w:p>
    <w:p w14:paraId="710C67BC" w14:textId="77777777" w:rsidR="00E61EFC" w:rsidRP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  <w:r w:rsidRPr="00E61EFC">
        <w:rPr>
          <w:rFonts w:cstheme="minorHAnsi"/>
          <w:sz w:val="22"/>
          <w:szCs w:val="22"/>
          <w:lang w:eastAsia="hr-HR"/>
        </w:rPr>
        <w:t>Nadalje, sastavni dio Izvještaja o zaduživanju čini i pregled danih zajmova i potraživanja za dane zajmove koje je ugovorila jedinica lokalne i područne (regionalne) samouprave.</w:t>
      </w:r>
    </w:p>
    <w:p w14:paraId="55292C14" w14:textId="77777777" w:rsid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  <w:r w:rsidRPr="00E61EFC">
        <w:rPr>
          <w:rFonts w:cstheme="minorHAnsi"/>
          <w:sz w:val="22"/>
          <w:szCs w:val="22"/>
          <w:lang w:eastAsia="hr-HR"/>
        </w:rPr>
        <w:t>Slijedom navedenog, Izvještaj o zaduživanju sadrži pregled i stanje obveza za primljene kredite i zajmove i pregled danih zajmova i stanje potraživanja za dane zajmove Općine Levanjska Varoš.</w:t>
      </w:r>
    </w:p>
    <w:p w14:paraId="0DB75D85" w14:textId="77777777" w:rsid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</w:p>
    <w:p w14:paraId="02C349A3" w14:textId="77777777" w:rsidR="00E61EFC" w:rsidRPr="00E61EFC" w:rsidRDefault="00E61EFC" w:rsidP="00E61EFC">
      <w:pPr>
        <w:pStyle w:val="Naslov2"/>
        <w:numPr>
          <w:ilvl w:val="1"/>
          <w:numId w:val="4"/>
        </w:numPr>
        <w:spacing w:before="0" w:after="120"/>
        <w:ind w:left="431" w:hanging="431"/>
        <w:rPr>
          <w:rFonts w:eastAsia="Times New Roman"/>
          <w:b/>
          <w:sz w:val="22"/>
          <w:lang w:eastAsia="hr-HR"/>
        </w:rPr>
      </w:pPr>
      <w:bookmarkStart w:id="28" w:name="_Toc144891704"/>
      <w:r w:rsidRPr="00E61EFC">
        <w:rPr>
          <w:rFonts w:eastAsia="Times New Roman"/>
          <w:b/>
          <w:sz w:val="22"/>
          <w:lang w:eastAsia="hr-HR"/>
        </w:rPr>
        <w:t>OBVEZE ZA PRIMLJENE KREDITE I ZAJMOVE</w:t>
      </w:r>
      <w:bookmarkEnd w:id="28"/>
    </w:p>
    <w:p w14:paraId="4E8B5F54" w14:textId="3E7ADE40" w:rsid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  <w:r w:rsidRPr="00E61EFC">
        <w:rPr>
          <w:rFonts w:cstheme="minorHAnsi"/>
          <w:sz w:val="22"/>
          <w:szCs w:val="22"/>
          <w:lang w:eastAsia="hr-HR"/>
        </w:rPr>
        <w:t xml:space="preserve">Tijekom </w:t>
      </w:r>
      <w:r w:rsidR="00DD6C48">
        <w:rPr>
          <w:rFonts w:cstheme="minorHAnsi"/>
          <w:sz w:val="22"/>
          <w:szCs w:val="22"/>
          <w:lang w:eastAsia="hr-HR"/>
        </w:rPr>
        <w:t xml:space="preserve">prve polovice </w:t>
      </w:r>
      <w:r w:rsidRPr="00E61EFC">
        <w:rPr>
          <w:rFonts w:cstheme="minorHAnsi"/>
          <w:sz w:val="22"/>
          <w:szCs w:val="22"/>
          <w:lang w:eastAsia="hr-HR"/>
        </w:rPr>
        <w:t>202</w:t>
      </w:r>
      <w:r w:rsidR="004A15F1">
        <w:rPr>
          <w:rFonts w:cstheme="minorHAnsi"/>
          <w:sz w:val="22"/>
          <w:szCs w:val="22"/>
          <w:lang w:eastAsia="hr-HR"/>
        </w:rPr>
        <w:t>4</w:t>
      </w:r>
      <w:r w:rsidRPr="00E61EFC">
        <w:rPr>
          <w:rFonts w:cstheme="minorHAnsi"/>
          <w:sz w:val="22"/>
          <w:szCs w:val="22"/>
          <w:lang w:eastAsia="hr-HR"/>
        </w:rPr>
        <w:t>. godine Općina Levanjska Varoš nije se zaduživala za nove dugoročne kredite, a u nastavku se daje pregled kredita ugovorenih u prethodnim godinama kao i stanje obveza za kredite/zajmove na 3</w:t>
      </w:r>
      <w:r w:rsidR="00DD6C48">
        <w:rPr>
          <w:rFonts w:cstheme="minorHAnsi"/>
          <w:sz w:val="22"/>
          <w:szCs w:val="22"/>
          <w:lang w:eastAsia="hr-HR"/>
        </w:rPr>
        <w:t>0</w:t>
      </w:r>
      <w:r w:rsidRPr="00E61EFC">
        <w:rPr>
          <w:rFonts w:cstheme="minorHAnsi"/>
          <w:sz w:val="22"/>
          <w:szCs w:val="22"/>
          <w:lang w:eastAsia="hr-HR"/>
        </w:rPr>
        <w:t>.</w:t>
      </w:r>
      <w:r w:rsidR="00DD6C48">
        <w:rPr>
          <w:rFonts w:cstheme="minorHAnsi"/>
          <w:sz w:val="22"/>
          <w:szCs w:val="22"/>
          <w:lang w:eastAsia="hr-HR"/>
        </w:rPr>
        <w:t>06</w:t>
      </w:r>
      <w:r w:rsidRPr="00E61EFC">
        <w:rPr>
          <w:rFonts w:cstheme="minorHAnsi"/>
          <w:sz w:val="22"/>
          <w:szCs w:val="22"/>
          <w:lang w:eastAsia="hr-HR"/>
        </w:rPr>
        <w:t>.202</w:t>
      </w:r>
      <w:r w:rsidR="004A15F1">
        <w:rPr>
          <w:rFonts w:cstheme="minorHAnsi"/>
          <w:sz w:val="22"/>
          <w:szCs w:val="22"/>
          <w:lang w:eastAsia="hr-HR"/>
        </w:rPr>
        <w:t>4</w:t>
      </w:r>
      <w:r w:rsidRPr="00E61EFC">
        <w:rPr>
          <w:rFonts w:cstheme="minorHAnsi"/>
          <w:sz w:val="22"/>
          <w:szCs w:val="22"/>
          <w:lang w:eastAsia="hr-HR"/>
        </w:rPr>
        <w:t>. godine s iznosima godišnjih otplata navedenih obveza prema dospijeću u narednim godinama.</w:t>
      </w:r>
    </w:p>
    <w:p w14:paraId="53D4F334" w14:textId="77777777" w:rsid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</w:p>
    <w:p w14:paraId="2C3EB311" w14:textId="44174301" w:rsidR="00E61EFC" w:rsidRPr="00E61EFC" w:rsidRDefault="00E61EFC" w:rsidP="00E61EFC">
      <w:pPr>
        <w:pStyle w:val="Naslov3"/>
        <w:numPr>
          <w:ilvl w:val="2"/>
          <w:numId w:val="4"/>
        </w:numPr>
        <w:spacing w:before="0" w:after="120"/>
        <w:ind w:left="504"/>
        <w:rPr>
          <w:rFonts w:eastAsia="Times New Roman"/>
          <w:b/>
          <w:sz w:val="22"/>
          <w:lang w:eastAsia="hr-HR"/>
        </w:rPr>
      </w:pPr>
      <w:bookmarkStart w:id="29" w:name="_Toc144891705"/>
      <w:r w:rsidRPr="00E61EFC">
        <w:rPr>
          <w:rFonts w:eastAsia="Times New Roman"/>
          <w:b/>
          <w:caps w:val="0"/>
          <w:sz w:val="22"/>
          <w:lang w:eastAsia="hr-HR"/>
        </w:rPr>
        <w:t>Dugoročni krediti</w:t>
      </w:r>
      <w:bookmarkEnd w:id="29"/>
    </w:p>
    <w:p w14:paraId="692C505D" w14:textId="1CF3FD15" w:rsidR="00E61EFC" w:rsidRPr="00E61EFC" w:rsidRDefault="00E61EFC" w:rsidP="00E61EFC">
      <w:pPr>
        <w:spacing w:before="0" w:after="120" w:line="240" w:lineRule="auto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 w:rsidRPr="00E61EFC">
        <w:rPr>
          <w:rFonts w:ascii="Calibri" w:eastAsia="Times New Roman" w:hAnsi="Calibri" w:cs="Calibri"/>
          <w:sz w:val="22"/>
          <w:szCs w:val="22"/>
          <w:lang w:eastAsia="hr-HR"/>
        </w:rPr>
        <w:t>Temeljem suglasnosti Vlade RH od 10.09.2020. godine, Općina Levanjska Varoš se u 2020. godini dugoročno zadužila uzimanjem kredita kod Hrvatske banke za obnovu i razvitak u iznosu od 4.000.000,00 kuna</w:t>
      </w:r>
      <w:r w:rsidR="004A15F1">
        <w:rPr>
          <w:rFonts w:ascii="Calibri" w:eastAsia="Times New Roman" w:hAnsi="Calibri" w:cs="Calibri"/>
          <w:sz w:val="22"/>
          <w:szCs w:val="22"/>
          <w:lang w:eastAsia="hr-HR"/>
        </w:rPr>
        <w:t xml:space="preserve"> (530.891,23 eura)</w:t>
      </w:r>
      <w:r w:rsidRPr="00E61EFC">
        <w:rPr>
          <w:rFonts w:ascii="Calibri" w:eastAsia="Times New Roman" w:hAnsi="Calibri" w:cs="Calibri"/>
          <w:sz w:val="22"/>
          <w:szCs w:val="22"/>
          <w:lang w:eastAsia="hr-HR"/>
        </w:rPr>
        <w:t xml:space="preserve">, s rokom otplate od 10 godina, u svrhu realizacije kapitalnog projekta K100037 - Kupnja i uređenje kompleksa "Stara kupka" u </w:t>
      </w:r>
      <w:proofErr w:type="spellStart"/>
      <w:r w:rsidRPr="00E61EFC">
        <w:rPr>
          <w:rFonts w:ascii="Calibri" w:eastAsia="Times New Roman" w:hAnsi="Calibri" w:cs="Calibri"/>
          <w:sz w:val="22"/>
          <w:szCs w:val="22"/>
          <w:lang w:eastAsia="hr-HR"/>
        </w:rPr>
        <w:t>Breznici</w:t>
      </w:r>
      <w:proofErr w:type="spellEnd"/>
      <w:r w:rsidRPr="00E61EFC">
        <w:rPr>
          <w:rFonts w:ascii="Calibri" w:eastAsia="Times New Roman" w:hAnsi="Calibri" w:cs="Calibri"/>
          <w:sz w:val="22"/>
          <w:szCs w:val="22"/>
          <w:lang w:eastAsia="hr-HR"/>
        </w:rPr>
        <w:t xml:space="preserve"> Đakovačkoj. </w:t>
      </w:r>
      <w:r w:rsidR="004A15F1" w:rsidRPr="004A15F1">
        <w:rPr>
          <w:rFonts w:ascii="Calibri" w:eastAsia="Times New Roman" w:hAnsi="Calibri" w:cs="Calibri"/>
          <w:sz w:val="22"/>
          <w:szCs w:val="22"/>
          <w:lang w:eastAsia="hr-HR"/>
        </w:rPr>
        <w:t>S danom 31.08.2023. godine završeno razdoblje korištenja kredita, te je isti prenesen u otplatu</w:t>
      </w:r>
      <w:r w:rsidR="004A15F1">
        <w:rPr>
          <w:rFonts w:ascii="Calibri" w:eastAsia="Times New Roman" w:hAnsi="Calibri" w:cs="Calibri"/>
          <w:sz w:val="22"/>
          <w:szCs w:val="22"/>
          <w:lang w:eastAsia="hr-HR"/>
        </w:rPr>
        <w:t>.</w:t>
      </w:r>
      <w:r w:rsidR="004A15F1" w:rsidRPr="004A15F1">
        <w:rPr>
          <w:rFonts w:ascii="Calibri" w:eastAsia="Times New Roman" w:hAnsi="Calibri" w:cs="Calibri"/>
          <w:sz w:val="22"/>
          <w:szCs w:val="22"/>
          <w:lang w:eastAsia="hr-HR"/>
        </w:rPr>
        <w:t xml:space="preserve"> </w:t>
      </w:r>
      <w:r w:rsidR="004A15F1">
        <w:rPr>
          <w:rFonts w:ascii="Calibri" w:eastAsia="Times New Roman" w:hAnsi="Calibri" w:cs="Calibri"/>
          <w:sz w:val="22"/>
          <w:szCs w:val="22"/>
          <w:lang w:eastAsia="hr-HR"/>
        </w:rPr>
        <w:t>S</w:t>
      </w:r>
      <w:r w:rsidR="004A15F1" w:rsidRPr="004A15F1">
        <w:rPr>
          <w:rFonts w:ascii="Calibri" w:eastAsia="Times New Roman" w:hAnsi="Calibri" w:cs="Calibri"/>
          <w:sz w:val="22"/>
          <w:szCs w:val="22"/>
          <w:lang w:eastAsia="hr-HR"/>
        </w:rPr>
        <w:t>veukupno je iskorišteno 530.592,74 eura, dok se ostatak kredita od 298,49 eura nije iskorišten</w:t>
      </w:r>
      <w:r w:rsidRPr="00E61EFC">
        <w:rPr>
          <w:rFonts w:ascii="Calibri" w:eastAsia="Times New Roman" w:hAnsi="Calibri" w:cs="Calibri"/>
          <w:sz w:val="22"/>
          <w:szCs w:val="22"/>
          <w:lang w:eastAsia="hr-HR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2"/>
        <w:gridCol w:w="363"/>
        <w:gridCol w:w="1293"/>
        <w:gridCol w:w="163"/>
        <w:gridCol w:w="1437"/>
        <w:gridCol w:w="18"/>
        <w:gridCol w:w="1456"/>
        <w:gridCol w:w="951"/>
        <w:gridCol w:w="505"/>
        <w:gridCol w:w="594"/>
        <w:gridCol w:w="865"/>
        <w:gridCol w:w="249"/>
        <w:gridCol w:w="1206"/>
        <w:gridCol w:w="200"/>
        <w:gridCol w:w="1256"/>
        <w:gridCol w:w="154"/>
        <w:gridCol w:w="1302"/>
        <w:gridCol w:w="105"/>
        <w:gridCol w:w="1351"/>
        <w:gridCol w:w="58"/>
        <w:gridCol w:w="1410"/>
      </w:tblGrid>
      <w:tr w:rsidR="00FC7193" w:rsidRPr="00E61EFC" w14:paraId="1D96854A" w14:textId="77777777" w:rsidTr="00CA27CF">
        <w:trPr>
          <w:cantSplit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13E037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Red. br.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8D956A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Kreditor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A9F1E0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Opis zaduženja po vrsti  / valutnoj / kamatnoj</w:t>
            </w: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br/>
              <w:t xml:space="preserve"> i ročnoj strukturi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B10D91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Namjena 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6262CC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Datum ugovaranja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74EDE6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Datum dospijeća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D75676" w14:textId="56698F2E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Iznos kredita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1CD8C3" w14:textId="617B0FB0" w:rsidR="00E61EFC" w:rsidRPr="00E61EFC" w:rsidRDefault="00E61EFC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Stanje </w:t>
            </w:r>
            <w:r w:rsidR="00FC719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glavnice</w:t>
            </w: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 01.01.202</w:t>
            </w:r>
            <w:r w:rsidR="004A15F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4</w:t>
            </w: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4A043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Primljeni krediti u tekućoj godini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74E1B6" w14:textId="0A8E1C4B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Otplat</w:t>
            </w:r>
            <w:r w:rsidR="00FC719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a</w:t>
            </w: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 glavnice</w:t>
            </w:r>
            <w:r w:rsidR="00FC719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 u 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03E5DF" w14:textId="5C9F696D" w:rsidR="00E61EFC" w:rsidRPr="00E61EFC" w:rsidRDefault="00E61EFC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Stanje </w:t>
            </w:r>
            <w:r w:rsidR="00FC7193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glavnice</w:t>
            </w: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 </w:t>
            </w:r>
            <w:r w:rsidR="005805E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3</w:t>
            </w:r>
            <w:r w:rsidR="0017748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0</w:t>
            </w: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</w:t>
            </w:r>
            <w:r w:rsidR="0017748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06</w:t>
            </w: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.202</w:t>
            </w:r>
            <w:r w:rsidR="004A15F1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4</w:t>
            </w: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</w:t>
            </w:r>
          </w:p>
        </w:tc>
      </w:tr>
      <w:tr w:rsidR="00FC7193" w:rsidRPr="00E61EFC" w14:paraId="57138CC6" w14:textId="77777777" w:rsidTr="00CA27CF">
        <w:trPr>
          <w:cantSplit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84233A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1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3C85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Hrvatska banka za obnovu i razvitak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4662A0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Dugoročni kredit u kunama, rok otplate 10 godina, kamatna stopa 1,75%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89B0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Kupnja i uređenje kompleksa „Stara kupka“ u </w:t>
            </w:r>
            <w:proofErr w:type="spellStart"/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Breznici</w:t>
            </w:r>
            <w:proofErr w:type="spellEnd"/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 Đakovačkoj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FEA0" w14:textId="77777777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10.11.2020.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2A39" w14:textId="10920A5C" w:rsidR="00E61EFC" w:rsidRPr="00E61EFC" w:rsidRDefault="00E61EFC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31.</w:t>
            </w:r>
            <w:r w:rsidR="004A15F1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08</w:t>
            </w: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.203</w:t>
            </w:r>
            <w:r w:rsidR="004A15F1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3</w:t>
            </w: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89AE56" w14:textId="523E2AD3" w:rsidR="00E61EFC" w:rsidRPr="00DD6C48" w:rsidRDefault="00DD6C48" w:rsidP="00DD6C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530.891,23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F20D14" w14:textId="73A529C8" w:rsidR="00E61EFC" w:rsidRPr="005805EB" w:rsidRDefault="00FC7193" w:rsidP="0017748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 w:rsidRPr="00FC7193"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517.327,92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CB16C" w14:textId="6530C2D0" w:rsidR="00E61EFC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5F717F" w14:textId="486AB072" w:rsidR="00E61EFC" w:rsidRPr="00E61EFC" w:rsidRDefault="00FC7193" w:rsidP="00FC7193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FC7193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26.529,6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4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91F93F" w14:textId="41C80964" w:rsidR="00E61EFC" w:rsidRPr="00E61EFC" w:rsidRDefault="00FC7193" w:rsidP="00E61E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 w:rsidRPr="00FC7193"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490.798,28</w:t>
            </w:r>
          </w:p>
        </w:tc>
      </w:tr>
      <w:tr w:rsidR="00FC7193" w:rsidRPr="00E61EFC" w14:paraId="4A5C63D8" w14:textId="77777777" w:rsidTr="00177484">
        <w:trPr>
          <w:cantSplit/>
        </w:trPr>
        <w:tc>
          <w:tcPr>
            <w:tcW w:w="27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0C6C30" w14:textId="77777777" w:rsidR="00E61EFC" w:rsidRPr="00E61EFC" w:rsidRDefault="00E61EFC" w:rsidP="00E61E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UKUPNO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F2244" w14:textId="0D6088C7" w:rsidR="00E61EFC" w:rsidRPr="00E61EFC" w:rsidRDefault="00177484" w:rsidP="00E61E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530.891,23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24059" w14:textId="0EB3059B" w:rsidR="00E61EFC" w:rsidRPr="00E61EFC" w:rsidRDefault="00FC7193" w:rsidP="00E61E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517.327,92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B98A2" w14:textId="0559DE14" w:rsidR="00E61EFC" w:rsidRPr="00E61EFC" w:rsidRDefault="00177484" w:rsidP="0017748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B53E5" w14:textId="63A96B3F" w:rsidR="00E61EFC" w:rsidRPr="00E61EFC" w:rsidRDefault="00177484" w:rsidP="00E61EF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E5840" w14:textId="5573B302" w:rsidR="00E61EFC" w:rsidRPr="00E61EFC" w:rsidRDefault="00FC7193" w:rsidP="00E61EFC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490.798,28</w:t>
            </w:r>
          </w:p>
        </w:tc>
      </w:tr>
      <w:tr w:rsidR="00E61EFC" w:rsidRPr="00E61EFC" w14:paraId="25E11697" w14:textId="77777777" w:rsidTr="00E61EFC">
        <w:trPr>
          <w:cantSplit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6F3214" w14:textId="77777777" w:rsidR="00E61EFC" w:rsidRPr="00E61EFC" w:rsidRDefault="00E61EFC" w:rsidP="00E61EFC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Iznosi otplata u narednim godinama:</w:t>
            </w:r>
          </w:p>
        </w:tc>
      </w:tr>
      <w:tr w:rsidR="001003A2" w:rsidRPr="00E61EFC" w14:paraId="3373AE5E" w14:textId="77777777" w:rsidTr="001003A2">
        <w:trPr>
          <w:cantSplit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2C52DB" w14:textId="77777777" w:rsidR="001003A2" w:rsidRPr="00E61EFC" w:rsidRDefault="001003A2" w:rsidP="00FC7193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Godina: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7377A6" w14:textId="5A25BA57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VII-XII </w:t>
            </w: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2024.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C1D7DA" w14:textId="289ABB9D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2025.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8270AE" w14:textId="003C9589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2026.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299CAD" w14:textId="76F30BC9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2027.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6C6E0A" w14:textId="673B5A3F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2028.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C663A2" w14:textId="4BAA1F4B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2029.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E8E3D7" w14:textId="2BC36C3B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2030.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798C78" w14:textId="5EDB0596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2031.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EAE82" w14:textId="1FD236BE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2032.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49A60A" w14:textId="201B348B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2033.</w:t>
            </w:r>
          </w:p>
        </w:tc>
      </w:tr>
      <w:tr w:rsidR="001003A2" w:rsidRPr="00E61EFC" w14:paraId="677EB7AA" w14:textId="77777777" w:rsidTr="001003A2">
        <w:trPr>
          <w:cantSplit/>
        </w:trPr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F512BA" w14:textId="77777777" w:rsidR="001003A2" w:rsidRPr="00E61EFC" w:rsidRDefault="001003A2" w:rsidP="00FC7193">
            <w:pPr>
              <w:spacing w:before="0" w:after="0" w:line="240" w:lineRule="auto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 w:rsidRPr="00E61EFC"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Iznos: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6DD2" w14:textId="2E05B0D2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FC7193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26.529,64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6DDBB2" w14:textId="2E4512E2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861F40">
              <w:t>53.0</w:t>
            </w:r>
            <w:r>
              <w:t>5</w:t>
            </w:r>
            <w:r w:rsidRPr="00861F40">
              <w:t>9,</w:t>
            </w:r>
            <w:r>
              <w:t>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FD4E" w14:textId="270A1811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861F40">
              <w:t>53.0</w:t>
            </w:r>
            <w:r>
              <w:t>5</w:t>
            </w:r>
            <w:r w:rsidRPr="00861F40">
              <w:t>9,2</w:t>
            </w:r>
            <w:r>
              <w:t>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514E" w14:textId="38019892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861F40">
              <w:t>53.0</w:t>
            </w:r>
            <w:r>
              <w:t>5</w:t>
            </w:r>
            <w:r w:rsidRPr="00861F40">
              <w:t>9,2</w:t>
            </w:r>
            <w:r>
              <w:t>8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179" w14:textId="2B7363D6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861F40">
              <w:t>53.0</w:t>
            </w:r>
            <w:r>
              <w:t>5</w:t>
            </w:r>
            <w:r w:rsidRPr="00861F40">
              <w:t>9,2</w:t>
            </w:r>
            <w:r>
              <w:t>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E3DC6" w14:textId="4DE6F83E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861F40">
              <w:t>53.0</w:t>
            </w:r>
            <w:r>
              <w:t>5</w:t>
            </w:r>
            <w:r w:rsidRPr="00861F40">
              <w:t>9,2</w:t>
            </w:r>
            <w:r>
              <w:t>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4C792" w14:textId="749ADA2F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861F40">
              <w:t>53.0</w:t>
            </w:r>
            <w:r>
              <w:t>5</w:t>
            </w:r>
            <w:r w:rsidRPr="00861F40">
              <w:t>9,2</w:t>
            </w:r>
            <w:r>
              <w:t>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99026E" w14:textId="716EBFC7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 w:rsidRPr="00861F40">
              <w:t>53.0</w:t>
            </w:r>
            <w:r>
              <w:t>5</w:t>
            </w:r>
            <w:r w:rsidRPr="00861F40">
              <w:t>9,2</w:t>
            </w:r>
            <w:r>
              <w:t>8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F205D" w14:textId="24E8C7E4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861F40">
              <w:t>53.0</w:t>
            </w:r>
            <w:r>
              <w:t>5</w:t>
            </w:r>
            <w:r w:rsidRPr="00861F40">
              <w:t>9,2</w:t>
            </w:r>
            <w:r>
              <w:t>8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9408F" w14:textId="1277B8D2" w:rsidR="001003A2" w:rsidRPr="00E61EFC" w:rsidRDefault="001003A2" w:rsidP="00FC719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</w:pPr>
            <w:r w:rsidRPr="00B04016"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39.794,4</w:t>
            </w:r>
            <w:r>
              <w:rPr>
                <w:rFonts w:ascii="Calibri" w:eastAsia="Times New Roman" w:hAnsi="Calibri" w:cs="Calibri"/>
                <w:bCs/>
                <w:color w:val="000000"/>
                <w:szCs w:val="22"/>
                <w:lang w:eastAsia="hr-HR"/>
              </w:rPr>
              <w:t>0</w:t>
            </w:r>
          </w:p>
        </w:tc>
      </w:tr>
    </w:tbl>
    <w:p w14:paraId="6753E7EA" w14:textId="77777777" w:rsidR="00E61EFC" w:rsidRPr="00E61EFC" w:rsidRDefault="00E61EFC" w:rsidP="00E61EFC">
      <w:pPr>
        <w:spacing w:before="0" w:after="120" w:line="240" w:lineRule="auto"/>
        <w:jc w:val="both"/>
        <w:rPr>
          <w:rFonts w:cstheme="minorHAnsi"/>
          <w:sz w:val="22"/>
          <w:szCs w:val="22"/>
          <w:lang w:eastAsia="hr-HR"/>
        </w:rPr>
      </w:pPr>
    </w:p>
    <w:p w14:paraId="6DC14783" w14:textId="20B66BEF" w:rsidR="0053024B" w:rsidRPr="0053024B" w:rsidRDefault="0053024B" w:rsidP="005A0236">
      <w:pPr>
        <w:pStyle w:val="Naslov3"/>
        <w:numPr>
          <w:ilvl w:val="2"/>
          <w:numId w:val="4"/>
        </w:numPr>
        <w:spacing w:before="0" w:after="120"/>
        <w:ind w:left="504"/>
        <w:rPr>
          <w:rFonts w:eastAsia="Times New Roman"/>
          <w:b/>
          <w:sz w:val="22"/>
        </w:rPr>
      </w:pPr>
      <w:bookmarkStart w:id="30" w:name="_Toc144891706"/>
      <w:r w:rsidRPr="0053024B">
        <w:rPr>
          <w:rFonts w:eastAsia="Times New Roman"/>
          <w:b/>
          <w:sz w:val="22"/>
        </w:rPr>
        <w:lastRenderedPageBreak/>
        <w:t>K</w:t>
      </w:r>
      <w:r w:rsidRPr="0053024B">
        <w:rPr>
          <w:rFonts w:eastAsia="Times New Roman"/>
          <w:b/>
          <w:caps w:val="0"/>
          <w:sz w:val="22"/>
        </w:rPr>
        <w:t>ratkoročni zajmovi</w:t>
      </w:r>
      <w:bookmarkEnd w:id="30"/>
    </w:p>
    <w:p w14:paraId="53F72F87" w14:textId="4213E555" w:rsidR="008F174B" w:rsidRPr="0053024B" w:rsidRDefault="008F174B" w:rsidP="0053024B">
      <w:pPr>
        <w:spacing w:before="0" w:after="120" w:line="240" w:lineRule="auto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 w:rsidRPr="008F174B">
        <w:rPr>
          <w:rFonts w:ascii="Calibri" w:eastAsia="Times New Roman" w:hAnsi="Calibri" w:cs="Calibri"/>
          <w:sz w:val="22"/>
          <w:szCs w:val="22"/>
          <w:lang w:eastAsia="hr-HR"/>
        </w:rPr>
        <w:t>U 202</w:t>
      </w:r>
      <w:r w:rsidR="001003A2">
        <w:rPr>
          <w:rFonts w:ascii="Calibri" w:eastAsia="Times New Roman" w:hAnsi="Calibri" w:cs="Calibri"/>
          <w:sz w:val="22"/>
          <w:szCs w:val="22"/>
          <w:lang w:eastAsia="hr-HR"/>
        </w:rPr>
        <w:t>3</w:t>
      </w:r>
      <w:r w:rsidRPr="008F174B">
        <w:rPr>
          <w:rFonts w:ascii="Calibri" w:eastAsia="Times New Roman" w:hAnsi="Calibri" w:cs="Calibri"/>
          <w:sz w:val="22"/>
          <w:szCs w:val="22"/>
          <w:lang w:eastAsia="hr-HR"/>
        </w:rPr>
        <w:t xml:space="preserve">. godini ugovoren </w:t>
      </w:r>
      <w:r w:rsidR="00177484">
        <w:rPr>
          <w:rFonts w:ascii="Calibri" w:eastAsia="Times New Roman" w:hAnsi="Calibri" w:cs="Calibri"/>
          <w:sz w:val="22"/>
          <w:szCs w:val="22"/>
          <w:lang w:eastAsia="hr-HR"/>
        </w:rPr>
        <w:t xml:space="preserve">je </w:t>
      </w:r>
      <w:r w:rsidRPr="008F174B">
        <w:rPr>
          <w:rFonts w:ascii="Calibri" w:eastAsia="Times New Roman" w:hAnsi="Calibri" w:cs="Calibri"/>
          <w:sz w:val="22"/>
          <w:szCs w:val="22"/>
          <w:lang w:eastAsia="hr-HR"/>
        </w:rPr>
        <w:t xml:space="preserve">kratkoročni kredit Croatia banke u iznosu od </w:t>
      </w:r>
      <w:r w:rsidR="00177484">
        <w:rPr>
          <w:rFonts w:ascii="Calibri" w:eastAsia="Times New Roman" w:hAnsi="Calibri" w:cs="Calibri"/>
          <w:sz w:val="22"/>
          <w:szCs w:val="22"/>
          <w:lang w:eastAsia="hr-HR"/>
        </w:rPr>
        <w:t>7</w:t>
      </w:r>
      <w:r w:rsidR="001003A2">
        <w:rPr>
          <w:rFonts w:ascii="Calibri" w:eastAsia="Times New Roman" w:hAnsi="Calibri" w:cs="Calibri"/>
          <w:sz w:val="22"/>
          <w:szCs w:val="22"/>
          <w:lang w:eastAsia="hr-HR"/>
        </w:rPr>
        <w:t>5.000,00</w:t>
      </w:r>
      <w:r w:rsidR="00177484">
        <w:rPr>
          <w:rFonts w:ascii="Calibri" w:eastAsia="Times New Roman" w:hAnsi="Calibri" w:cs="Calibri"/>
          <w:sz w:val="22"/>
          <w:szCs w:val="22"/>
          <w:lang w:eastAsia="hr-HR"/>
        </w:rPr>
        <w:t xml:space="preserve"> eura</w:t>
      </w:r>
      <w:r w:rsidRPr="008F174B">
        <w:rPr>
          <w:rFonts w:ascii="Calibri" w:eastAsia="Times New Roman" w:hAnsi="Calibri" w:cs="Calibri"/>
          <w:sz w:val="22"/>
          <w:szCs w:val="22"/>
          <w:lang w:eastAsia="hr-HR"/>
        </w:rPr>
        <w:t xml:space="preserve"> s rokom korištenja do 15.09.202</w:t>
      </w:r>
      <w:r w:rsidR="001003A2">
        <w:rPr>
          <w:rFonts w:ascii="Calibri" w:eastAsia="Times New Roman" w:hAnsi="Calibri" w:cs="Calibri"/>
          <w:sz w:val="22"/>
          <w:szCs w:val="22"/>
          <w:lang w:eastAsia="hr-HR"/>
        </w:rPr>
        <w:t>4</w:t>
      </w:r>
      <w:r w:rsidRPr="008F174B">
        <w:rPr>
          <w:rFonts w:ascii="Calibri" w:eastAsia="Times New Roman" w:hAnsi="Calibri" w:cs="Calibri"/>
          <w:sz w:val="22"/>
          <w:szCs w:val="22"/>
          <w:lang w:eastAsia="hr-HR"/>
        </w:rPr>
        <w:t xml:space="preserve">. godine u svrhu premošćivanja privremene nelikvidnosti prilikom provođenja kapitalnih projekata, a tijekom </w:t>
      </w:r>
      <w:r w:rsidR="00177484">
        <w:rPr>
          <w:rFonts w:ascii="Calibri" w:eastAsia="Times New Roman" w:hAnsi="Calibri" w:cs="Calibri"/>
          <w:sz w:val="22"/>
          <w:szCs w:val="22"/>
          <w:lang w:eastAsia="hr-HR"/>
        </w:rPr>
        <w:t xml:space="preserve">izvještajnog razdoblja </w:t>
      </w:r>
      <w:r w:rsidR="001003A2">
        <w:rPr>
          <w:rFonts w:ascii="Calibri" w:eastAsia="Times New Roman" w:hAnsi="Calibri" w:cs="Calibri"/>
          <w:sz w:val="22"/>
          <w:szCs w:val="22"/>
          <w:lang w:eastAsia="hr-HR"/>
        </w:rPr>
        <w:t>iskorišteno je 10.000,00 eura</w:t>
      </w:r>
      <w:r w:rsidRPr="008F174B">
        <w:rPr>
          <w:rFonts w:ascii="Calibri" w:eastAsia="Times New Roman" w:hAnsi="Calibri" w:cs="Calibri"/>
          <w:sz w:val="22"/>
          <w:szCs w:val="22"/>
          <w:lang w:eastAsia="hr-HR"/>
        </w:rPr>
        <w:t>.</w:t>
      </w:r>
    </w:p>
    <w:p w14:paraId="2091D570" w14:textId="21A0C1FA" w:rsidR="0053024B" w:rsidRDefault="0053024B" w:rsidP="0053024B">
      <w:pPr>
        <w:spacing w:before="0" w:after="120" w:line="240" w:lineRule="auto"/>
        <w:jc w:val="both"/>
        <w:rPr>
          <w:rFonts w:ascii="Calibri" w:eastAsia="Times New Roman" w:hAnsi="Calibri" w:cs="Calibri"/>
          <w:sz w:val="22"/>
          <w:szCs w:val="22"/>
          <w:lang w:eastAsia="hr-HR"/>
        </w:rPr>
      </w:pP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>Nadalje, u svrhu isplate povrata poreza i prireza po godišnjoj prijavi za 202</w:t>
      </w:r>
      <w:r w:rsidR="001003A2">
        <w:rPr>
          <w:rFonts w:ascii="Calibri" w:eastAsia="Times New Roman" w:hAnsi="Calibri" w:cs="Calibri"/>
          <w:sz w:val="22"/>
          <w:szCs w:val="22"/>
          <w:lang w:eastAsia="hr-HR"/>
        </w:rPr>
        <w:t>2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 xml:space="preserve">. godinu nedostajuća sredstva na zajedničkom računu poreza i prireza na dohodak namirena su na teret državnog proračuna, a sukladno Uputi Ministarstva financija evidentirana su kao obveza za kratkoročni zajam. Na </w:t>
      </w:r>
      <w:r w:rsidR="00FB6F64">
        <w:rPr>
          <w:rFonts w:ascii="Calibri" w:eastAsia="Times New Roman" w:hAnsi="Calibri" w:cs="Calibri"/>
          <w:sz w:val="22"/>
          <w:szCs w:val="22"/>
          <w:lang w:eastAsia="hr-HR"/>
        </w:rPr>
        <w:t>dan 01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>.</w:t>
      </w:r>
      <w:r w:rsidR="00FB6F64">
        <w:rPr>
          <w:rFonts w:ascii="Calibri" w:eastAsia="Times New Roman" w:hAnsi="Calibri" w:cs="Calibri"/>
          <w:sz w:val="22"/>
          <w:szCs w:val="22"/>
          <w:lang w:eastAsia="hr-HR"/>
        </w:rPr>
        <w:t>01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>.202</w:t>
      </w:r>
      <w:r w:rsidR="001003A2">
        <w:rPr>
          <w:rFonts w:ascii="Calibri" w:eastAsia="Times New Roman" w:hAnsi="Calibri" w:cs="Calibri"/>
          <w:sz w:val="22"/>
          <w:szCs w:val="22"/>
          <w:lang w:eastAsia="hr-HR"/>
        </w:rPr>
        <w:t>4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>. godine stanje beskamatnog zajma Ministarstva financija iznosi</w:t>
      </w:r>
      <w:r w:rsidR="00FB6F64">
        <w:rPr>
          <w:rFonts w:ascii="Calibri" w:eastAsia="Times New Roman" w:hAnsi="Calibri" w:cs="Calibri"/>
          <w:sz w:val="22"/>
          <w:szCs w:val="22"/>
          <w:lang w:eastAsia="hr-HR"/>
        </w:rPr>
        <w:t xml:space="preserve">lo je </w:t>
      </w:r>
      <w:r w:rsidR="001003A2" w:rsidRPr="001003A2">
        <w:rPr>
          <w:rFonts w:ascii="Calibri" w:eastAsia="Times New Roman" w:hAnsi="Calibri" w:cs="Calibri"/>
          <w:sz w:val="22"/>
          <w:szCs w:val="22"/>
          <w:lang w:eastAsia="hr-HR"/>
        </w:rPr>
        <w:t>7.536,51</w:t>
      </w:r>
      <w:r w:rsidR="00E406BD">
        <w:rPr>
          <w:rFonts w:ascii="Calibri" w:eastAsia="Times New Roman" w:hAnsi="Calibri" w:cs="Calibri"/>
          <w:sz w:val="22"/>
          <w:szCs w:val="22"/>
          <w:lang w:eastAsia="hr-HR"/>
        </w:rPr>
        <w:t xml:space="preserve"> eura</w:t>
      </w:r>
      <w:r w:rsidR="00FB6F64">
        <w:rPr>
          <w:rFonts w:ascii="Calibri" w:eastAsia="Times New Roman" w:hAnsi="Calibri" w:cs="Calibri"/>
          <w:sz w:val="22"/>
          <w:szCs w:val="22"/>
          <w:lang w:eastAsia="hr-HR"/>
        </w:rPr>
        <w:t xml:space="preserve">, te je 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 xml:space="preserve">dug otplaćen u 4 mjesečna obroka na način da </w:t>
      </w:r>
      <w:r w:rsidR="00FB6F64">
        <w:rPr>
          <w:rFonts w:ascii="Calibri" w:eastAsia="Times New Roman" w:hAnsi="Calibri" w:cs="Calibri"/>
          <w:sz w:val="22"/>
          <w:szCs w:val="22"/>
          <w:lang w:eastAsia="hr-HR"/>
        </w:rPr>
        <w:t xml:space="preserve">je 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 xml:space="preserve">FINA </w:t>
      </w:r>
      <w:r w:rsidR="00FB6F64">
        <w:rPr>
          <w:rFonts w:ascii="Calibri" w:eastAsia="Times New Roman" w:hAnsi="Calibri" w:cs="Calibri"/>
          <w:sz w:val="22"/>
          <w:szCs w:val="22"/>
          <w:lang w:eastAsia="hr-HR"/>
        </w:rPr>
        <w:t>poslala</w:t>
      </w:r>
      <w:r w:rsidRPr="0053024B">
        <w:rPr>
          <w:rFonts w:ascii="Calibri" w:eastAsia="Times New Roman" w:hAnsi="Calibri" w:cs="Calibri"/>
          <w:sz w:val="22"/>
          <w:szCs w:val="22"/>
          <w:lang w:eastAsia="hr-HR"/>
        </w:rPr>
        <w:t xml:space="preserve"> naloge na teret računa proračuna Općine za povrat u državni proračun.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68"/>
        <w:gridCol w:w="1687"/>
        <w:gridCol w:w="1647"/>
        <w:gridCol w:w="2456"/>
        <w:gridCol w:w="1129"/>
        <w:gridCol w:w="1142"/>
        <w:gridCol w:w="1274"/>
        <w:gridCol w:w="1274"/>
        <w:gridCol w:w="1360"/>
        <w:gridCol w:w="1483"/>
        <w:gridCol w:w="1468"/>
      </w:tblGrid>
      <w:tr w:rsidR="0053024B" w:rsidRPr="0053024B" w14:paraId="461F5790" w14:textId="77777777" w:rsidTr="0053024B">
        <w:trPr>
          <w:cantSplit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B5F0A6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Red. br.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DDC44D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Kreditor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0C06B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Opis zaduženja po vrsti  / valutnoj / kamatnoj</w:t>
            </w: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br/>
              <w:t xml:space="preserve"> i ročnoj strukturi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A2D236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Namjena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75FDE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Datum ugovaranja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D5CA65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Datum dospijeća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C2838B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Iznos kredita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3D5944" w14:textId="6ABBDE43" w:rsidR="0053024B" w:rsidRPr="0053024B" w:rsidRDefault="0053024B" w:rsidP="00E406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Stanje </w:t>
            </w:r>
            <w:r w:rsidR="001003A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glavnice</w:t>
            </w: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 01.01.202</w:t>
            </w:r>
            <w:r w:rsidR="001003A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4</w:t>
            </w: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966384" w14:textId="77777777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Primljeni krediti u tekućoj godini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748251" w14:textId="5F3280AC" w:rsidR="0053024B" w:rsidRPr="0053024B" w:rsidRDefault="0053024B" w:rsidP="005302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Otplate glavnice</w:t>
            </w:r>
            <w:r w:rsidR="001003A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 u 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81C38" w14:textId="7E9620D2" w:rsidR="0053024B" w:rsidRPr="0053024B" w:rsidRDefault="0053024B" w:rsidP="00E406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Stanje </w:t>
            </w:r>
            <w:r w:rsidR="001003A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glavnice</w:t>
            </w: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 xml:space="preserve"> </w:t>
            </w:r>
            <w:r w:rsidR="00FB6F64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3</w:t>
            </w:r>
            <w:r w:rsidR="00E406B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0</w:t>
            </w: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</w:t>
            </w:r>
            <w:r w:rsidR="00E406BD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06</w:t>
            </w: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.202</w:t>
            </w:r>
            <w:r w:rsidR="001003A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4</w:t>
            </w:r>
            <w:r w:rsidRPr="0053024B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hr-HR"/>
              </w:rPr>
              <w:t>.</w:t>
            </w:r>
          </w:p>
        </w:tc>
      </w:tr>
      <w:tr w:rsidR="00CA27CF" w:rsidRPr="0053024B" w14:paraId="375CDB55" w14:textId="77777777" w:rsidTr="0053024B">
        <w:trPr>
          <w:cantSplit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6F0EE2" w14:textId="4937042E" w:rsidR="00CA27CF" w:rsidRPr="0053024B" w:rsidRDefault="002B59CD" w:rsidP="00CA27C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4E9" w14:textId="77777777" w:rsidR="00CA27CF" w:rsidRPr="0053024B" w:rsidRDefault="00CA27CF" w:rsidP="00CA27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Croatia banka d.d.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E6BC33" w14:textId="5A591953" w:rsidR="00CA27CF" w:rsidRPr="0053024B" w:rsidRDefault="00CA27CF" w:rsidP="00CA27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Kratkoročni </w:t>
            </w:r>
            <w:proofErr w:type="spellStart"/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revolving</w:t>
            </w:r>
            <w:proofErr w:type="spellEnd"/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 kredit u kunama, </w:t>
            </w:r>
            <w:r w:rsidR="001003A2" w:rsidRPr="001003A2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promjenjiva kamatna stopa (</w:t>
            </w:r>
            <w:r w:rsidR="001003A2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3 mj. </w:t>
            </w:r>
            <w:r w:rsidR="001003A2" w:rsidRPr="001003A2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EURIBOR + 3,00 p.p. godišnje)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A3EE" w14:textId="77777777" w:rsidR="00CA27CF" w:rsidRPr="0053024B" w:rsidRDefault="00CA27CF" w:rsidP="00CA27C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Premošćivanje privremene nelikvidnosti prilikom provođenja projekata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AC29" w14:textId="4D52CF16" w:rsidR="00CA27CF" w:rsidRPr="0053024B" w:rsidRDefault="008F174B" w:rsidP="008F17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</w:t>
            </w:r>
            <w:r w:rsidR="001003A2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</w:t>
            </w:r>
            <w:r w:rsidR="00CA27CF"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</w:t>
            </w:r>
            <w:r w:rsidR="001003A2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09</w:t>
            </w:r>
            <w:r w:rsidR="00CA27CF"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.202</w:t>
            </w:r>
            <w:r w:rsidR="001003A2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3</w:t>
            </w:r>
            <w:r w:rsidR="00CA27CF"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A4C5" w14:textId="203A2B39" w:rsidR="00CA27CF" w:rsidRPr="0053024B" w:rsidRDefault="00CA27CF" w:rsidP="008F174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15.09.202</w:t>
            </w:r>
            <w:r w:rsidR="001003A2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4</w:t>
            </w: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DDE76B" w14:textId="636DA8F5" w:rsidR="00CA27CF" w:rsidRPr="0053024B" w:rsidRDefault="00E406BD" w:rsidP="00E406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E406BD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7</w:t>
            </w:r>
            <w:r w:rsidR="001003A2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5.000,00</w:t>
            </w:r>
            <w:r w:rsidRPr="00E406BD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03C325" w14:textId="3D865A72" w:rsidR="00CA27CF" w:rsidRPr="0053024B" w:rsidRDefault="001003A2" w:rsidP="00E406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40.000,00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624306" w14:textId="5AFDC159" w:rsidR="00CA27CF" w:rsidRPr="0053024B" w:rsidRDefault="001003A2" w:rsidP="001003A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10.000,00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B21C2F" w14:textId="77777777" w:rsidR="00CA27CF" w:rsidRPr="0053024B" w:rsidRDefault="00CA27CF" w:rsidP="00CA27C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F04390" w14:textId="40FDD43B" w:rsidR="00CA27CF" w:rsidRPr="0053024B" w:rsidRDefault="001003A2" w:rsidP="00CA27C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50.000,00</w:t>
            </w:r>
          </w:p>
        </w:tc>
      </w:tr>
      <w:tr w:rsidR="002B59CD" w:rsidRPr="0053024B" w14:paraId="4B5D77DE" w14:textId="77777777" w:rsidTr="0053024B">
        <w:trPr>
          <w:cantSplit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1A253" w14:textId="0491B4D8" w:rsidR="002B59CD" w:rsidRPr="0053024B" w:rsidRDefault="002B59CD" w:rsidP="002B59C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9C4" w14:textId="0B915CD1" w:rsidR="002B59CD" w:rsidRPr="0053024B" w:rsidRDefault="002B59CD" w:rsidP="002B59C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Republika Hrvatska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C8636" w14:textId="62A284E2" w:rsidR="002B59CD" w:rsidRPr="0053024B" w:rsidRDefault="002B59CD" w:rsidP="002B59C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Kratkoročni zajam u kunama, bez kamata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8F92" w14:textId="40EBE8AC" w:rsidR="002B59CD" w:rsidRPr="0053024B" w:rsidRDefault="002B59CD" w:rsidP="002B59C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Namirenje nedostajućih sredstava za izvršenje povrata poreza po godišnjoj prijavi za 202</w:t>
            </w:r>
            <w:r w:rsidR="001003A2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2</w:t>
            </w: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B898" w14:textId="53752D51" w:rsidR="002B59CD" w:rsidRPr="0053024B" w:rsidRDefault="002B59CD" w:rsidP="002B59C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6FEB" w14:textId="1F5886AA" w:rsidR="002B59CD" w:rsidRPr="0053024B" w:rsidRDefault="002B59CD" w:rsidP="002B59C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0</w:t>
            </w:r>
            <w:r w:rsidR="001003A2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8</w:t>
            </w: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.04.202</w:t>
            </w:r>
            <w:r w:rsidR="001003A2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4</w:t>
            </w:r>
            <w:r w:rsidRPr="0053024B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955E7" w14:textId="354F819C" w:rsidR="002B59CD" w:rsidRPr="0053024B" w:rsidRDefault="001003A2" w:rsidP="00E406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 w:rsidRPr="001003A2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18.119,26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135FE" w14:textId="7E84CF41" w:rsidR="002B59CD" w:rsidRPr="00FB6F64" w:rsidRDefault="001003A2" w:rsidP="00E406B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7.536,51</w:t>
            </w:r>
            <w:r w:rsidR="00E406BD" w:rsidRPr="00E406BD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11829" w14:textId="6FE81434" w:rsidR="002B59CD" w:rsidRDefault="00E406BD" w:rsidP="00E406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889ED" w14:textId="6C9A4C2A" w:rsidR="002B59CD" w:rsidRDefault="001003A2" w:rsidP="006647D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7.536,51</w:t>
            </w:r>
            <w:r w:rsidR="006647D9" w:rsidRPr="006647D9"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0294E" w14:textId="62195DD0" w:rsidR="002B59CD" w:rsidRDefault="00E406BD" w:rsidP="00E406BD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hr-HR"/>
              </w:rPr>
              <w:t>-</w:t>
            </w:r>
          </w:p>
        </w:tc>
      </w:tr>
      <w:tr w:rsidR="002B59CD" w:rsidRPr="0053024B" w14:paraId="736FD29C" w14:textId="77777777" w:rsidTr="00FB6F64">
        <w:trPr>
          <w:cantSplit/>
        </w:trPr>
        <w:tc>
          <w:tcPr>
            <w:tcW w:w="27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160253" w14:textId="77777777" w:rsidR="002B59CD" w:rsidRPr="0053024B" w:rsidRDefault="002B59CD" w:rsidP="002B59C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 w:rsidRPr="0053024B"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UKUPNO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3F468" w14:textId="1C3A0C87" w:rsidR="002B59CD" w:rsidRPr="0053024B" w:rsidRDefault="00486E41" w:rsidP="002B59C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93.119,26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413D8" w14:textId="48686143" w:rsidR="002B59CD" w:rsidRPr="0053024B" w:rsidRDefault="00486E41" w:rsidP="002B59C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47.536,51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2C0C" w14:textId="5395C77F" w:rsidR="002B59CD" w:rsidRPr="0053024B" w:rsidRDefault="00486E41" w:rsidP="00486E41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10.000,00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89563" w14:textId="030DD45F" w:rsidR="002B59CD" w:rsidRPr="0053024B" w:rsidRDefault="00486E41" w:rsidP="002B59C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7.536,51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7C650" w14:textId="4CF709FD" w:rsidR="002B59CD" w:rsidRPr="0053024B" w:rsidRDefault="00486E41" w:rsidP="002B59C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Cs w:val="22"/>
                <w:lang w:eastAsia="hr-HR"/>
              </w:rPr>
              <w:t>50.000,00</w:t>
            </w:r>
          </w:p>
        </w:tc>
      </w:tr>
    </w:tbl>
    <w:p w14:paraId="506431DE" w14:textId="77777777" w:rsidR="00470EBB" w:rsidRDefault="00470EBB" w:rsidP="009A0C43">
      <w:pPr>
        <w:rPr>
          <w:sz w:val="22"/>
        </w:rPr>
      </w:pPr>
    </w:p>
    <w:p w14:paraId="6D53E936" w14:textId="77777777" w:rsidR="008926B8" w:rsidRDefault="008926B8" w:rsidP="009A0C43">
      <w:pPr>
        <w:rPr>
          <w:sz w:val="22"/>
        </w:rPr>
      </w:pPr>
    </w:p>
    <w:p w14:paraId="1754B4EF" w14:textId="77777777" w:rsidR="00470EBB" w:rsidRPr="00691918" w:rsidRDefault="00470EBB" w:rsidP="00470EBB">
      <w:pPr>
        <w:pStyle w:val="Naslov1"/>
        <w:numPr>
          <w:ilvl w:val="0"/>
          <w:numId w:val="4"/>
        </w:numPr>
        <w:spacing w:before="0" w:after="120"/>
        <w:rPr>
          <w:b/>
        </w:rPr>
      </w:pPr>
      <w:bookmarkStart w:id="31" w:name="_Toc144891707"/>
      <w:r w:rsidRPr="00691918">
        <w:rPr>
          <w:b/>
        </w:rPr>
        <w:t>IZVJEŠTAJ O DANIM JAMSTVIMA I IZDACIMA PO DANIM JAMSTVIMA</w:t>
      </w:r>
      <w:bookmarkEnd w:id="31"/>
    </w:p>
    <w:p w14:paraId="27ADEDD9" w14:textId="77777777" w:rsidR="00470EBB" w:rsidRPr="00000576" w:rsidRDefault="00470EBB" w:rsidP="00470EBB">
      <w:pPr>
        <w:spacing w:before="0" w:after="120" w:line="240" w:lineRule="auto"/>
        <w:jc w:val="both"/>
        <w:rPr>
          <w:rFonts w:cstheme="minorHAnsi"/>
          <w:sz w:val="22"/>
          <w:szCs w:val="22"/>
        </w:rPr>
      </w:pPr>
      <w:r w:rsidRPr="00000576">
        <w:rPr>
          <w:rFonts w:cstheme="minorHAnsi"/>
          <w:sz w:val="22"/>
          <w:szCs w:val="22"/>
        </w:rPr>
        <w:t>U izvještajnom razdoblju Općina Levanjska Varoš nije davala jamstva niti je imala troškove po danim jamstvima.</w:t>
      </w:r>
    </w:p>
    <w:p w14:paraId="2ED9E75E" w14:textId="77777777" w:rsidR="00470EBB" w:rsidRDefault="00470EBB" w:rsidP="00470EBB">
      <w:pPr>
        <w:spacing w:before="0" w:after="120" w:line="240" w:lineRule="auto"/>
        <w:jc w:val="both"/>
        <w:rPr>
          <w:rFonts w:cstheme="minorHAnsi"/>
          <w:b/>
          <w:sz w:val="22"/>
          <w:szCs w:val="22"/>
        </w:rPr>
      </w:pPr>
    </w:p>
    <w:p w14:paraId="4726AA03" w14:textId="77777777" w:rsidR="008926B8" w:rsidRPr="00000576" w:rsidRDefault="008926B8" w:rsidP="00470EBB">
      <w:pPr>
        <w:spacing w:before="0" w:after="120" w:line="240" w:lineRule="auto"/>
        <w:jc w:val="both"/>
        <w:rPr>
          <w:rFonts w:cstheme="minorHAnsi"/>
          <w:b/>
          <w:sz w:val="22"/>
          <w:szCs w:val="22"/>
        </w:rPr>
      </w:pPr>
    </w:p>
    <w:p w14:paraId="14AE663E" w14:textId="77777777" w:rsidR="00470EBB" w:rsidRPr="00691918" w:rsidRDefault="00470EBB" w:rsidP="00470EBB">
      <w:pPr>
        <w:pStyle w:val="Naslov1"/>
        <w:numPr>
          <w:ilvl w:val="0"/>
          <w:numId w:val="4"/>
        </w:numPr>
        <w:spacing w:before="0" w:after="120"/>
        <w:rPr>
          <w:b/>
        </w:rPr>
      </w:pPr>
      <w:bookmarkStart w:id="32" w:name="_Toc144891708"/>
      <w:bookmarkStart w:id="33" w:name="_GoBack"/>
      <w:bookmarkEnd w:id="33"/>
      <w:r w:rsidRPr="00691918">
        <w:rPr>
          <w:b/>
        </w:rPr>
        <w:t>IZVJEŠTAJ O KORIŠTENJU SREDSTAVA PRORAČUNSKE ZALIHE</w:t>
      </w:r>
      <w:bookmarkEnd w:id="32"/>
    </w:p>
    <w:p w14:paraId="7E44CD80" w14:textId="3863F251" w:rsidR="008874E3" w:rsidRPr="001F3CBE" w:rsidRDefault="00470EBB" w:rsidP="008926B8">
      <w:pPr>
        <w:spacing w:before="0" w:after="120" w:line="240" w:lineRule="auto"/>
        <w:jc w:val="both"/>
        <w:rPr>
          <w:sz w:val="22"/>
        </w:rPr>
      </w:pPr>
      <w:r w:rsidRPr="00000576">
        <w:rPr>
          <w:rFonts w:cstheme="minorHAnsi"/>
          <w:sz w:val="22"/>
          <w:szCs w:val="22"/>
        </w:rPr>
        <w:t>U izvještajnom razdoblju Općina Levanjska Varoš nije koristila sredstava proračunske zalihe.</w:t>
      </w:r>
    </w:p>
    <w:sectPr w:rsidR="008874E3" w:rsidRPr="001F3CBE" w:rsidSect="008926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D2A1D" w14:textId="77777777" w:rsidR="008C72A1" w:rsidRDefault="008C72A1" w:rsidP="009A54E3">
      <w:pPr>
        <w:spacing w:after="0" w:line="240" w:lineRule="auto"/>
      </w:pPr>
      <w:r>
        <w:separator/>
      </w:r>
    </w:p>
  </w:endnote>
  <w:endnote w:type="continuationSeparator" w:id="0">
    <w:p w14:paraId="5E056E84" w14:textId="77777777" w:rsidR="008C72A1" w:rsidRDefault="008C72A1" w:rsidP="009A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F002" w14:textId="0A075CC6" w:rsidR="00BA132B" w:rsidRDefault="00BA132B">
    <w:pPr>
      <w:pStyle w:val="Podnoje"/>
      <w:jc w:val="right"/>
    </w:pPr>
  </w:p>
  <w:p w14:paraId="24D6F330" w14:textId="77777777" w:rsidR="00BA132B" w:rsidRDefault="00BA13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790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C071A" w14:textId="77777777" w:rsidR="00BA132B" w:rsidRDefault="00BA132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4964" w14:textId="77777777" w:rsidR="008C72A1" w:rsidRDefault="008C72A1" w:rsidP="009A54E3">
      <w:pPr>
        <w:spacing w:after="0" w:line="240" w:lineRule="auto"/>
      </w:pPr>
      <w:r>
        <w:separator/>
      </w:r>
    </w:p>
  </w:footnote>
  <w:footnote w:type="continuationSeparator" w:id="0">
    <w:p w14:paraId="1F1BA01E" w14:textId="77777777" w:rsidR="008C72A1" w:rsidRDefault="008C72A1" w:rsidP="009A5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3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696D8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F3B53"/>
    <w:multiLevelType w:val="multilevel"/>
    <w:tmpl w:val="BC628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2D05"/>
    <w:multiLevelType w:val="hybridMultilevel"/>
    <w:tmpl w:val="438A8578"/>
    <w:lvl w:ilvl="0" w:tplc="9BFC7B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760E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3234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3A519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531CB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431D5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09010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550B5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9C6E8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423E31"/>
    <w:multiLevelType w:val="hybridMultilevel"/>
    <w:tmpl w:val="D608AE44"/>
    <w:lvl w:ilvl="0" w:tplc="4594A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74ECA6"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E2F31"/>
    <w:multiLevelType w:val="hybridMultilevel"/>
    <w:tmpl w:val="BC628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448A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597BD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B7123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6C037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DA3BD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BB03A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941FB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717D1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8D6F59"/>
    <w:multiLevelType w:val="hybridMultilevel"/>
    <w:tmpl w:val="5E682282"/>
    <w:lvl w:ilvl="0" w:tplc="4594A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45E58"/>
    <w:multiLevelType w:val="hybridMultilevel"/>
    <w:tmpl w:val="57105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97139"/>
    <w:multiLevelType w:val="hybridMultilevel"/>
    <w:tmpl w:val="B9BCD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7770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63081F"/>
    <w:multiLevelType w:val="hybridMultilevel"/>
    <w:tmpl w:val="9D8C6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43F6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2F594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806A48"/>
    <w:multiLevelType w:val="hybridMultilevel"/>
    <w:tmpl w:val="53987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E230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8556D1"/>
    <w:multiLevelType w:val="hybridMultilevel"/>
    <w:tmpl w:val="A894D95E"/>
    <w:lvl w:ilvl="0" w:tplc="4594A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672F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FE527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75291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1F380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411B5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8D40B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4F132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B5C3EC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3"/>
  </w:num>
  <w:num w:numId="3">
    <w:abstractNumId w:val="22"/>
  </w:num>
  <w:num w:numId="4">
    <w:abstractNumId w:val="39"/>
  </w:num>
  <w:num w:numId="5">
    <w:abstractNumId w:val="12"/>
  </w:num>
  <w:num w:numId="6">
    <w:abstractNumId w:val="29"/>
  </w:num>
  <w:num w:numId="7">
    <w:abstractNumId w:val="36"/>
  </w:num>
  <w:num w:numId="8">
    <w:abstractNumId w:val="27"/>
  </w:num>
  <w:num w:numId="9">
    <w:abstractNumId w:val="38"/>
  </w:num>
  <w:num w:numId="10">
    <w:abstractNumId w:val="9"/>
  </w:num>
  <w:num w:numId="11">
    <w:abstractNumId w:val="30"/>
  </w:num>
  <w:num w:numId="12">
    <w:abstractNumId w:val="33"/>
  </w:num>
  <w:num w:numId="13">
    <w:abstractNumId w:val="19"/>
  </w:num>
  <w:num w:numId="14">
    <w:abstractNumId w:val="14"/>
  </w:num>
  <w:num w:numId="15">
    <w:abstractNumId w:val="31"/>
  </w:num>
  <w:num w:numId="16">
    <w:abstractNumId w:val="32"/>
  </w:num>
  <w:num w:numId="17">
    <w:abstractNumId w:val="7"/>
  </w:num>
  <w:num w:numId="18">
    <w:abstractNumId w:val="16"/>
  </w:num>
  <w:num w:numId="19">
    <w:abstractNumId w:val="25"/>
  </w:num>
  <w:num w:numId="20">
    <w:abstractNumId w:val="17"/>
  </w:num>
  <w:num w:numId="21">
    <w:abstractNumId w:val="10"/>
  </w:num>
  <w:num w:numId="22">
    <w:abstractNumId w:val="11"/>
  </w:num>
  <w:num w:numId="23">
    <w:abstractNumId w:val="1"/>
  </w:num>
  <w:num w:numId="24">
    <w:abstractNumId w:val="6"/>
  </w:num>
  <w:num w:numId="25">
    <w:abstractNumId w:val="8"/>
  </w:num>
  <w:num w:numId="26">
    <w:abstractNumId w:val="37"/>
  </w:num>
  <w:num w:numId="27">
    <w:abstractNumId w:val="35"/>
  </w:num>
  <w:num w:numId="28">
    <w:abstractNumId w:val="5"/>
  </w:num>
  <w:num w:numId="29">
    <w:abstractNumId w:val="18"/>
  </w:num>
  <w:num w:numId="30">
    <w:abstractNumId w:val="15"/>
  </w:num>
  <w:num w:numId="31">
    <w:abstractNumId w:val="20"/>
  </w:num>
  <w:num w:numId="32">
    <w:abstractNumId w:val="0"/>
  </w:num>
  <w:num w:numId="33">
    <w:abstractNumId w:val="24"/>
  </w:num>
  <w:num w:numId="34">
    <w:abstractNumId w:val="13"/>
  </w:num>
  <w:num w:numId="35">
    <w:abstractNumId w:val="2"/>
  </w:num>
  <w:num w:numId="36">
    <w:abstractNumId w:val="23"/>
  </w:num>
  <w:num w:numId="37">
    <w:abstractNumId w:val="26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4"/>
  </w:num>
  <w:num w:numId="41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7A"/>
    <w:rsid w:val="00000576"/>
    <w:rsid w:val="00010E7B"/>
    <w:rsid w:val="0001419E"/>
    <w:rsid w:val="00014669"/>
    <w:rsid w:val="000163DD"/>
    <w:rsid w:val="00016C99"/>
    <w:rsid w:val="00017652"/>
    <w:rsid w:val="00023CB8"/>
    <w:rsid w:val="000269E3"/>
    <w:rsid w:val="000316D8"/>
    <w:rsid w:val="00043D16"/>
    <w:rsid w:val="00045987"/>
    <w:rsid w:val="000518BD"/>
    <w:rsid w:val="00060860"/>
    <w:rsid w:val="00070EBB"/>
    <w:rsid w:val="000729BA"/>
    <w:rsid w:val="0008404E"/>
    <w:rsid w:val="00084D94"/>
    <w:rsid w:val="00090D6F"/>
    <w:rsid w:val="00093626"/>
    <w:rsid w:val="000A7667"/>
    <w:rsid w:val="000B12CA"/>
    <w:rsid w:val="000C0F8F"/>
    <w:rsid w:val="000C381B"/>
    <w:rsid w:val="000C59A8"/>
    <w:rsid w:val="000C7768"/>
    <w:rsid w:val="000D26DF"/>
    <w:rsid w:val="000E2AB3"/>
    <w:rsid w:val="000E3498"/>
    <w:rsid w:val="000F0E7D"/>
    <w:rsid w:val="000F3E2C"/>
    <w:rsid w:val="001003A2"/>
    <w:rsid w:val="001003E5"/>
    <w:rsid w:val="00102A00"/>
    <w:rsid w:val="00102A1B"/>
    <w:rsid w:val="00104C6B"/>
    <w:rsid w:val="00106E3A"/>
    <w:rsid w:val="00110C37"/>
    <w:rsid w:val="001125F1"/>
    <w:rsid w:val="0011375A"/>
    <w:rsid w:val="00117578"/>
    <w:rsid w:val="0013136E"/>
    <w:rsid w:val="00132BCA"/>
    <w:rsid w:val="0013341B"/>
    <w:rsid w:val="00133D7D"/>
    <w:rsid w:val="00140F2C"/>
    <w:rsid w:val="00142DF1"/>
    <w:rsid w:val="00145FEA"/>
    <w:rsid w:val="001512CE"/>
    <w:rsid w:val="00154587"/>
    <w:rsid w:val="001561B9"/>
    <w:rsid w:val="00161D46"/>
    <w:rsid w:val="00165728"/>
    <w:rsid w:val="00167DA1"/>
    <w:rsid w:val="00177484"/>
    <w:rsid w:val="00181225"/>
    <w:rsid w:val="00190A9F"/>
    <w:rsid w:val="00190ECE"/>
    <w:rsid w:val="001924E7"/>
    <w:rsid w:val="00193062"/>
    <w:rsid w:val="001B1D06"/>
    <w:rsid w:val="001B468C"/>
    <w:rsid w:val="001B57AF"/>
    <w:rsid w:val="001B6CF7"/>
    <w:rsid w:val="001C3A02"/>
    <w:rsid w:val="001E787F"/>
    <w:rsid w:val="001F0678"/>
    <w:rsid w:val="001F3CBE"/>
    <w:rsid w:val="002102E2"/>
    <w:rsid w:val="00220F01"/>
    <w:rsid w:val="00223645"/>
    <w:rsid w:val="00226A56"/>
    <w:rsid w:val="00231A39"/>
    <w:rsid w:val="002324AF"/>
    <w:rsid w:val="00236872"/>
    <w:rsid w:val="00247220"/>
    <w:rsid w:val="00250D2E"/>
    <w:rsid w:val="00250FAA"/>
    <w:rsid w:val="002531E7"/>
    <w:rsid w:val="00257941"/>
    <w:rsid w:val="0027166B"/>
    <w:rsid w:val="00274052"/>
    <w:rsid w:val="00274319"/>
    <w:rsid w:val="00274995"/>
    <w:rsid w:val="00275734"/>
    <w:rsid w:val="0028075A"/>
    <w:rsid w:val="00284651"/>
    <w:rsid w:val="00286149"/>
    <w:rsid w:val="002A4555"/>
    <w:rsid w:val="002A5EEE"/>
    <w:rsid w:val="002A5FE9"/>
    <w:rsid w:val="002A6BB5"/>
    <w:rsid w:val="002A711E"/>
    <w:rsid w:val="002A7D83"/>
    <w:rsid w:val="002B4455"/>
    <w:rsid w:val="002B59CD"/>
    <w:rsid w:val="002B6962"/>
    <w:rsid w:val="002B6C48"/>
    <w:rsid w:val="002C0047"/>
    <w:rsid w:val="002C2441"/>
    <w:rsid w:val="002C4342"/>
    <w:rsid w:val="002C45BB"/>
    <w:rsid w:val="002C5D6D"/>
    <w:rsid w:val="002C7635"/>
    <w:rsid w:val="002D3B1A"/>
    <w:rsid w:val="002E3A5F"/>
    <w:rsid w:val="002E5E6E"/>
    <w:rsid w:val="002F0C3D"/>
    <w:rsid w:val="002F0C4B"/>
    <w:rsid w:val="002F1CBE"/>
    <w:rsid w:val="002F4A3A"/>
    <w:rsid w:val="002F7631"/>
    <w:rsid w:val="00301A5D"/>
    <w:rsid w:val="003021F3"/>
    <w:rsid w:val="0030282E"/>
    <w:rsid w:val="00305607"/>
    <w:rsid w:val="00310DB6"/>
    <w:rsid w:val="00317C52"/>
    <w:rsid w:val="00317C8F"/>
    <w:rsid w:val="00324960"/>
    <w:rsid w:val="0032607B"/>
    <w:rsid w:val="00327ABF"/>
    <w:rsid w:val="00331E1E"/>
    <w:rsid w:val="003325B3"/>
    <w:rsid w:val="003348CE"/>
    <w:rsid w:val="00336A6C"/>
    <w:rsid w:val="0036018D"/>
    <w:rsid w:val="00363438"/>
    <w:rsid w:val="00364101"/>
    <w:rsid w:val="00374013"/>
    <w:rsid w:val="00374739"/>
    <w:rsid w:val="00375BA8"/>
    <w:rsid w:val="00375E86"/>
    <w:rsid w:val="00376643"/>
    <w:rsid w:val="00376A90"/>
    <w:rsid w:val="00387510"/>
    <w:rsid w:val="00393CA1"/>
    <w:rsid w:val="00395275"/>
    <w:rsid w:val="003A0F5F"/>
    <w:rsid w:val="003A4D0F"/>
    <w:rsid w:val="003A5A5C"/>
    <w:rsid w:val="003A7FD6"/>
    <w:rsid w:val="003B1847"/>
    <w:rsid w:val="003B1AA8"/>
    <w:rsid w:val="003B3C82"/>
    <w:rsid w:val="003B42B6"/>
    <w:rsid w:val="003B4D0E"/>
    <w:rsid w:val="003B7416"/>
    <w:rsid w:val="003C1908"/>
    <w:rsid w:val="003C5D8E"/>
    <w:rsid w:val="003C6F29"/>
    <w:rsid w:val="003E322D"/>
    <w:rsid w:val="003E3931"/>
    <w:rsid w:val="003E3D29"/>
    <w:rsid w:val="003E543E"/>
    <w:rsid w:val="00402CB5"/>
    <w:rsid w:val="004036CF"/>
    <w:rsid w:val="00407245"/>
    <w:rsid w:val="00411704"/>
    <w:rsid w:val="00425AA8"/>
    <w:rsid w:val="00434207"/>
    <w:rsid w:val="00442B6B"/>
    <w:rsid w:val="0044363F"/>
    <w:rsid w:val="00450368"/>
    <w:rsid w:val="00451393"/>
    <w:rsid w:val="0045314E"/>
    <w:rsid w:val="00454586"/>
    <w:rsid w:val="00454D29"/>
    <w:rsid w:val="004550AA"/>
    <w:rsid w:val="004561FE"/>
    <w:rsid w:val="00457F7D"/>
    <w:rsid w:val="004612C0"/>
    <w:rsid w:val="00464EA5"/>
    <w:rsid w:val="00465765"/>
    <w:rsid w:val="00467531"/>
    <w:rsid w:val="00470EBB"/>
    <w:rsid w:val="004711B9"/>
    <w:rsid w:val="00471FBC"/>
    <w:rsid w:val="00472332"/>
    <w:rsid w:val="00472929"/>
    <w:rsid w:val="0048366B"/>
    <w:rsid w:val="00486DA2"/>
    <w:rsid w:val="00486E41"/>
    <w:rsid w:val="00487652"/>
    <w:rsid w:val="00490FC5"/>
    <w:rsid w:val="00492F59"/>
    <w:rsid w:val="004A15F1"/>
    <w:rsid w:val="004A2D96"/>
    <w:rsid w:val="004B099F"/>
    <w:rsid w:val="004B16D8"/>
    <w:rsid w:val="004B2DCA"/>
    <w:rsid w:val="004B3A6D"/>
    <w:rsid w:val="004B3DC6"/>
    <w:rsid w:val="004B58FB"/>
    <w:rsid w:val="004B6EEF"/>
    <w:rsid w:val="004C4052"/>
    <w:rsid w:val="004C51CE"/>
    <w:rsid w:val="004D1CAA"/>
    <w:rsid w:val="004D3167"/>
    <w:rsid w:val="004D5A0D"/>
    <w:rsid w:val="004D61BF"/>
    <w:rsid w:val="004F1481"/>
    <w:rsid w:val="004F24B1"/>
    <w:rsid w:val="004F27A7"/>
    <w:rsid w:val="004F457C"/>
    <w:rsid w:val="004F7FB8"/>
    <w:rsid w:val="0050059F"/>
    <w:rsid w:val="005030AC"/>
    <w:rsid w:val="00510F65"/>
    <w:rsid w:val="005157C4"/>
    <w:rsid w:val="005169EC"/>
    <w:rsid w:val="0051756F"/>
    <w:rsid w:val="005240C8"/>
    <w:rsid w:val="00526CC7"/>
    <w:rsid w:val="0053024B"/>
    <w:rsid w:val="00530C10"/>
    <w:rsid w:val="00536B75"/>
    <w:rsid w:val="00543F71"/>
    <w:rsid w:val="00554C35"/>
    <w:rsid w:val="0055569B"/>
    <w:rsid w:val="005668C0"/>
    <w:rsid w:val="00574B81"/>
    <w:rsid w:val="00576F09"/>
    <w:rsid w:val="00577BBE"/>
    <w:rsid w:val="005805EB"/>
    <w:rsid w:val="005809AA"/>
    <w:rsid w:val="005813D0"/>
    <w:rsid w:val="00584BFC"/>
    <w:rsid w:val="005919A0"/>
    <w:rsid w:val="00591B87"/>
    <w:rsid w:val="00592BC7"/>
    <w:rsid w:val="005947FD"/>
    <w:rsid w:val="00596DF8"/>
    <w:rsid w:val="00597147"/>
    <w:rsid w:val="00597CFD"/>
    <w:rsid w:val="005A0236"/>
    <w:rsid w:val="005A3519"/>
    <w:rsid w:val="005A7AFD"/>
    <w:rsid w:val="005B0F84"/>
    <w:rsid w:val="005B1DE6"/>
    <w:rsid w:val="005B3C55"/>
    <w:rsid w:val="005B46C3"/>
    <w:rsid w:val="005B60B0"/>
    <w:rsid w:val="005B786B"/>
    <w:rsid w:val="005C123A"/>
    <w:rsid w:val="005C32FF"/>
    <w:rsid w:val="005C456D"/>
    <w:rsid w:val="005C7758"/>
    <w:rsid w:val="005C7CB5"/>
    <w:rsid w:val="005E5669"/>
    <w:rsid w:val="005F1771"/>
    <w:rsid w:val="005F7D42"/>
    <w:rsid w:val="006005FF"/>
    <w:rsid w:val="00600BB6"/>
    <w:rsid w:val="00602FA8"/>
    <w:rsid w:val="0060671B"/>
    <w:rsid w:val="00613B7A"/>
    <w:rsid w:val="0061702C"/>
    <w:rsid w:val="006200E7"/>
    <w:rsid w:val="00621128"/>
    <w:rsid w:val="00621175"/>
    <w:rsid w:val="0062302F"/>
    <w:rsid w:val="00623AF0"/>
    <w:rsid w:val="00624466"/>
    <w:rsid w:val="00624965"/>
    <w:rsid w:val="00630285"/>
    <w:rsid w:val="00635342"/>
    <w:rsid w:val="0063709C"/>
    <w:rsid w:val="0064030D"/>
    <w:rsid w:val="00640572"/>
    <w:rsid w:val="00641FA4"/>
    <w:rsid w:val="00643333"/>
    <w:rsid w:val="0064548E"/>
    <w:rsid w:val="006505B6"/>
    <w:rsid w:val="00650796"/>
    <w:rsid w:val="00651EAA"/>
    <w:rsid w:val="00653DD9"/>
    <w:rsid w:val="00654109"/>
    <w:rsid w:val="00662189"/>
    <w:rsid w:val="006647D9"/>
    <w:rsid w:val="006726D0"/>
    <w:rsid w:val="006762A4"/>
    <w:rsid w:val="00686103"/>
    <w:rsid w:val="00691918"/>
    <w:rsid w:val="006A2001"/>
    <w:rsid w:val="006A7047"/>
    <w:rsid w:val="006B3773"/>
    <w:rsid w:val="006B5E02"/>
    <w:rsid w:val="006C052C"/>
    <w:rsid w:val="006C2915"/>
    <w:rsid w:val="006D5C95"/>
    <w:rsid w:val="006F0B47"/>
    <w:rsid w:val="006F4B00"/>
    <w:rsid w:val="0070068F"/>
    <w:rsid w:val="007200C6"/>
    <w:rsid w:val="00725638"/>
    <w:rsid w:val="007259BA"/>
    <w:rsid w:val="007279DE"/>
    <w:rsid w:val="007279F1"/>
    <w:rsid w:val="00727B8A"/>
    <w:rsid w:val="00735F4B"/>
    <w:rsid w:val="007361B0"/>
    <w:rsid w:val="007419F3"/>
    <w:rsid w:val="00746CD7"/>
    <w:rsid w:val="0074757F"/>
    <w:rsid w:val="00747903"/>
    <w:rsid w:val="007517FE"/>
    <w:rsid w:val="0076152E"/>
    <w:rsid w:val="00766CBB"/>
    <w:rsid w:val="00770A9D"/>
    <w:rsid w:val="00774527"/>
    <w:rsid w:val="00780673"/>
    <w:rsid w:val="00781082"/>
    <w:rsid w:val="00781E6C"/>
    <w:rsid w:val="00784033"/>
    <w:rsid w:val="00795657"/>
    <w:rsid w:val="00796B65"/>
    <w:rsid w:val="007971C9"/>
    <w:rsid w:val="00797DD3"/>
    <w:rsid w:val="007A0C79"/>
    <w:rsid w:val="007A1BB2"/>
    <w:rsid w:val="007C07DF"/>
    <w:rsid w:val="007D77AF"/>
    <w:rsid w:val="007E2254"/>
    <w:rsid w:val="007E469E"/>
    <w:rsid w:val="007F1A38"/>
    <w:rsid w:val="007F4540"/>
    <w:rsid w:val="007F5F23"/>
    <w:rsid w:val="00805C3A"/>
    <w:rsid w:val="008101CD"/>
    <w:rsid w:val="00817194"/>
    <w:rsid w:val="0082567C"/>
    <w:rsid w:val="00825D8E"/>
    <w:rsid w:val="00827FB4"/>
    <w:rsid w:val="008305E0"/>
    <w:rsid w:val="008362B3"/>
    <w:rsid w:val="00842DE9"/>
    <w:rsid w:val="00845957"/>
    <w:rsid w:val="00845ABE"/>
    <w:rsid w:val="00846A46"/>
    <w:rsid w:val="00852FB2"/>
    <w:rsid w:val="00854339"/>
    <w:rsid w:val="00860D19"/>
    <w:rsid w:val="00862519"/>
    <w:rsid w:val="00867F06"/>
    <w:rsid w:val="008748E9"/>
    <w:rsid w:val="008763B5"/>
    <w:rsid w:val="008874E3"/>
    <w:rsid w:val="00891E2B"/>
    <w:rsid w:val="008926B8"/>
    <w:rsid w:val="00894864"/>
    <w:rsid w:val="00894F9D"/>
    <w:rsid w:val="008A1F8B"/>
    <w:rsid w:val="008A716F"/>
    <w:rsid w:val="008B4A19"/>
    <w:rsid w:val="008C00EE"/>
    <w:rsid w:val="008C2930"/>
    <w:rsid w:val="008C393D"/>
    <w:rsid w:val="008C72A1"/>
    <w:rsid w:val="008D30E5"/>
    <w:rsid w:val="008D413E"/>
    <w:rsid w:val="008E2D5F"/>
    <w:rsid w:val="008E36CC"/>
    <w:rsid w:val="008E60C5"/>
    <w:rsid w:val="008F174B"/>
    <w:rsid w:val="008F1C3E"/>
    <w:rsid w:val="00900F08"/>
    <w:rsid w:val="00903D93"/>
    <w:rsid w:val="0091674D"/>
    <w:rsid w:val="00926CB7"/>
    <w:rsid w:val="00927089"/>
    <w:rsid w:val="009272CC"/>
    <w:rsid w:val="00930861"/>
    <w:rsid w:val="00946DF9"/>
    <w:rsid w:val="00952C2D"/>
    <w:rsid w:val="00952D0C"/>
    <w:rsid w:val="00956BBC"/>
    <w:rsid w:val="009673CB"/>
    <w:rsid w:val="0097133D"/>
    <w:rsid w:val="0097156D"/>
    <w:rsid w:val="009734FE"/>
    <w:rsid w:val="00980194"/>
    <w:rsid w:val="009836DB"/>
    <w:rsid w:val="00987853"/>
    <w:rsid w:val="009925A8"/>
    <w:rsid w:val="00996402"/>
    <w:rsid w:val="009979E5"/>
    <w:rsid w:val="009A018B"/>
    <w:rsid w:val="009A0C43"/>
    <w:rsid w:val="009A54E3"/>
    <w:rsid w:val="009A702F"/>
    <w:rsid w:val="009B702D"/>
    <w:rsid w:val="009C1A50"/>
    <w:rsid w:val="009C1A7F"/>
    <w:rsid w:val="009C2873"/>
    <w:rsid w:val="009C629F"/>
    <w:rsid w:val="009C6954"/>
    <w:rsid w:val="009C794D"/>
    <w:rsid w:val="009D3D23"/>
    <w:rsid w:val="009D4F60"/>
    <w:rsid w:val="009D6FC0"/>
    <w:rsid w:val="009D779D"/>
    <w:rsid w:val="009F0ECE"/>
    <w:rsid w:val="009F1614"/>
    <w:rsid w:val="009F4E02"/>
    <w:rsid w:val="009F77FC"/>
    <w:rsid w:val="00A030EE"/>
    <w:rsid w:val="00A10A66"/>
    <w:rsid w:val="00A1442C"/>
    <w:rsid w:val="00A16785"/>
    <w:rsid w:val="00A21F46"/>
    <w:rsid w:val="00A26D19"/>
    <w:rsid w:val="00A2762C"/>
    <w:rsid w:val="00A31C3C"/>
    <w:rsid w:val="00A34397"/>
    <w:rsid w:val="00A37069"/>
    <w:rsid w:val="00A42AC6"/>
    <w:rsid w:val="00A4410C"/>
    <w:rsid w:val="00A44285"/>
    <w:rsid w:val="00A46398"/>
    <w:rsid w:val="00A53149"/>
    <w:rsid w:val="00A549FA"/>
    <w:rsid w:val="00A5677F"/>
    <w:rsid w:val="00A636A7"/>
    <w:rsid w:val="00A64127"/>
    <w:rsid w:val="00A65079"/>
    <w:rsid w:val="00A678FB"/>
    <w:rsid w:val="00A70244"/>
    <w:rsid w:val="00A714BF"/>
    <w:rsid w:val="00A747E5"/>
    <w:rsid w:val="00A75277"/>
    <w:rsid w:val="00A80F01"/>
    <w:rsid w:val="00A86C0F"/>
    <w:rsid w:val="00A90195"/>
    <w:rsid w:val="00A95402"/>
    <w:rsid w:val="00AA77C5"/>
    <w:rsid w:val="00AB3432"/>
    <w:rsid w:val="00AB5162"/>
    <w:rsid w:val="00AC0907"/>
    <w:rsid w:val="00AC6A4D"/>
    <w:rsid w:val="00AD4188"/>
    <w:rsid w:val="00AE006E"/>
    <w:rsid w:val="00AE4296"/>
    <w:rsid w:val="00AF0D77"/>
    <w:rsid w:val="00AF1819"/>
    <w:rsid w:val="00AF1F47"/>
    <w:rsid w:val="00AF422D"/>
    <w:rsid w:val="00AF72B3"/>
    <w:rsid w:val="00B05F28"/>
    <w:rsid w:val="00B10603"/>
    <w:rsid w:val="00B10604"/>
    <w:rsid w:val="00B107B0"/>
    <w:rsid w:val="00B11696"/>
    <w:rsid w:val="00B12661"/>
    <w:rsid w:val="00B2269C"/>
    <w:rsid w:val="00B22701"/>
    <w:rsid w:val="00B23F2D"/>
    <w:rsid w:val="00B2598C"/>
    <w:rsid w:val="00B33666"/>
    <w:rsid w:val="00B35581"/>
    <w:rsid w:val="00B46575"/>
    <w:rsid w:val="00B5209F"/>
    <w:rsid w:val="00B53528"/>
    <w:rsid w:val="00B54D18"/>
    <w:rsid w:val="00B56F86"/>
    <w:rsid w:val="00B5738A"/>
    <w:rsid w:val="00B57B95"/>
    <w:rsid w:val="00B65D8F"/>
    <w:rsid w:val="00B733A0"/>
    <w:rsid w:val="00B825F2"/>
    <w:rsid w:val="00B82AF3"/>
    <w:rsid w:val="00B83C76"/>
    <w:rsid w:val="00B84EA9"/>
    <w:rsid w:val="00B90569"/>
    <w:rsid w:val="00B97AEC"/>
    <w:rsid w:val="00BA0D97"/>
    <w:rsid w:val="00BA0DAB"/>
    <w:rsid w:val="00BA132B"/>
    <w:rsid w:val="00BA3DFD"/>
    <w:rsid w:val="00BB318A"/>
    <w:rsid w:val="00BB3F52"/>
    <w:rsid w:val="00BB4411"/>
    <w:rsid w:val="00BC38E5"/>
    <w:rsid w:val="00BC7D0B"/>
    <w:rsid w:val="00BD3C3A"/>
    <w:rsid w:val="00BE51AB"/>
    <w:rsid w:val="00BE5399"/>
    <w:rsid w:val="00BE609B"/>
    <w:rsid w:val="00BE6345"/>
    <w:rsid w:val="00BE71AE"/>
    <w:rsid w:val="00BF4249"/>
    <w:rsid w:val="00BF5652"/>
    <w:rsid w:val="00C000F4"/>
    <w:rsid w:val="00C017B0"/>
    <w:rsid w:val="00C02B55"/>
    <w:rsid w:val="00C07852"/>
    <w:rsid w:val="00C10573"/>
    <w:rsid w:val="00C127A8"/>
    <w:rsid w:val="00C1307B"/>
    <w:rsid w:val="00C16F83"/>
    <w:rsid w:val="00C17704"/>
    <w:rsid w:val="00C21516"/>
    <w:rsid w:val="00C23CDE"/>
    <w:rsid w:val="00C27B75"/>
    <w:rsid w:val="00C33C27"/>
    <w:rsid w:val="00C340D3"/>
    <w:rsid w:val="00C37143"/>
    <w:rsid w:val="00C3735B"/>
    <w:rsid w:val="00C51C2B"/>
    <w:rsid w:val="00C737B4"/>
    <w:rsid w:val="00C74EB9"/>
    <w:rsid w:val="00C77235"/>
    <w:rsid w:val="00C80A30"/>
    <w:rsid w:val="00C83807"/>
    <w:rsid w:val="00C847DE"/>
    <w:rsid w:val="00C85A6A"/>
    <w:rsid w:val="00C865A9"/>
    <w:rsid w:val="00CA09AC"/>
    <w:rsid w:val="00CA27CF"/>
    <w:rsid w:val="00CA4C1E"/>
    <w:rsid w:val="00CA4D2C"/>
    <w:rsid w:val="00CA60C6"/>
    <w:rsid w:val="00CB141D"/>
    <w:rsid w:val="00CB14B4"/>
    <w:rsid w:val="00CB1A01"/>
    <w:rsid w:val="00CB1DF5"/>
    <w:rsid w:val="00CB5B2F"/>
    <w:rsid w:val="00CB7858"/>
    <w:rsid w:val="00CD1979"/>
    <w:rsid w:val="00CE192F"/>
    <w:rsid w:val="00CE4369"/>
    <w:rsid w:val="00CE61CC"/>
    <w:rsid w:val="00CF50AB"/>
    <w:rsid w:val="00CF5739"/>
    <w:rsid w:val="00D13D35"/>
    <w:rsid w:val="00D13E13"/>
    <w:rsid w:val="00D2045E"/>
    <w:rsid w:val="00D2176F"/>
    <w:rsid w:val="00D260F6"/>
    <w:rsid w:val="00D3452E"/>
    <w:rsid w:val="00D37AE8"/>
    <w:rsid w:val="00D415E7"/>
    <w:rsid w:val="00D42515"/>
    <w:rsid w:val="00D4335C"/>
    <w:rsid w:val="00D43500"/>
    <w:rsid w:val="00D5706C"/>
    <w:rsid w:val="00D632A6"/>
    <w:rsid w:val="00D70514"/>
    <w:rsid w:val="00D8040E"/>
    <w:rsid w:val="00D8058C"/>
    <w:rsid w:val="00D8175C"/>
    <w:rsid w:val="00D83B76"/>
    <w:rsid w:val="00D90686"/>
    <w:rsid w:val="00DA1896"/>
    <w:rsid w:val="00DA219B"/>
    <w:rsid w:val="00DA487E"/>
    <w:rsid w:val="00DA551E"/>
    <w:rsid w:val="00DA590B"/>
    <w:rsid w:val="00DA6E26"/>
    <w:rsid w:val="00DA6EB1"/>
    <w:rsid w:val="00DB0086"/>
    <w:rsid w:val="00DB140D"/>
    <w:rsid w:val="00DB2E03"/>
    <w:rsid w:val="00DB2FBD"/>
    <w:rsid w:val="00DB556E"/>
    <w:rsid w:val="00DB55A7"/>
    <w:rsid w:val="00DB65BB"/>
    <w:rsid w:val="00DC5F6B"/>
    <w:rsid w:val="00DC7D18"/>
    <w:rsid w:val="00DD04B4"/>
    <w:rsid w:val="00DD3B5A"/>
    <w:rsid w:val="00DD3C3F"/>
    <w:rsid w:val="00DD520A"/>
    <w:rsid w:val="00DD52B2"/>
    <w:rsid w:val="00DD6C48"/>
    <w:rsid w:val="00DF028B"/>
    <w:rsid w:val="00DF12B3"/>
    <w:rsid w:val="00DF30EA"/>
    <w:rsid w:val="00DF3B1A"/>
    <w:rsid w:val="00DF5F9A"/>
    <w:rsid w:val="00DF72E3"/>
    <w:rsid w:val="00E234BE"/>
    <w:rsid w:val="00E31984"/>
    <w:rsid w:val="00E31AB4"/>
    <w:rsid w:val="00E35489"/>
    <w:rsid w:val="00E406BD"/>
    <w:rsid w:val="00E445E4"/>
    <w:rsid w:val="00E44D66"/>
    <w:rsid w:val="00E456C0"/>
    <w:rsid w:val="00E45B0C"/>
    <w:rsid w:val="00E512F7"/>
    <w:rsid w:val="00E530A7"/>
    <w:rsid w:val="00E6182A"/>
    <w:rsid w:val="00E61EFC"/>
    <w:rsid w:val="00E65AF4"/>
    <w:rsid w:val="00E671D0"/>
    <w:rsid w:val="00E67766"/>
    <w:rsid w:val="00E67C20"/>
    <w:rsid w:val="00E71E60"/>
    <w:rsid w:val="00E7385C"/>
    <w:rsid w:val="00E74899"/>
    <w:rsid w:val="00E753A5"/>
    <w:rsid w:val="00E75D88"/>
    <w:rsid w:val="00E77D1E"/>
    <w:rsid w:val="00E82F4C"/>
    <w:rsid w:val="00E83246"/>
    <w:rsid w:val="00E84472"/>
    <w:rsid w:val="00E922B6"/>
    <w:rsid w:val="00E97861"/>
    <w:rsid w:val="00E97F5D"/>
    <w:rsid w:val="00EA7D3F"/>
    <w:rsid w:val="00EB008B"/>
    <w:rsid w:val="00EB3E0D"/>
    <w:rsid w:val="00EC4BC7"/>
    <w:rsid w:val="00EC7EDF"/>
    <w:rsid w:val="00ED1219"/>
    <w:rsid w:val="00ED4161"/>
    <w:rsid w:val="00EE1A1E"/>
    <w:rsid w:val="00EE7E0D"/>
    <w:rsid w:val="00EF1CEB"/>
    <w:rsid w:val="00EF5E3E"/>
    <w:rsid w:val="00F00266"/>
    <w:rsid w:val="00F00684"/>
    <w:rsid w:val="00F027D3"/>
    <w:rsid w:val="00F055A3"/>
    <w:rsid w:val="00F06541"/>
    <w:rsid w:val="00F10065"/>
    <w:rsid w:val="00F11CC6"/>
    <w:rsid w:val="00F13092"/>
    <w:rsid w:val="00F15D05"/>
    <w:rsid w:val="00F16FB6"/>
    <w:rsid w:val="00F22DEC"/>
    <w:rsid w:val="00F23E67"/>
    <w:rsid w:val="00F25291"/>
    <w:rsid w:val="00F257C2"/>
    <w:rsid w:val="00F25C7F"/>
    <w:rsid w:val="00F344DD"/>
    <w:rsid w:val="00F40BBA"/>
    <w:rsid w:val="00F4380C"/>
    <w:rsid w:val="00F44228"/>
    <w:rsid w:val="00F44FFF"/>
    <w:rsid w:val="00F45183"/>
    <w:rsid w:val="00F46246"/>
    <w:rsid w:val="00F51AB4"/>
    <w:rsid w:val="00F563F0"/>
    <w:rsid w:val="00F603B0"/>
    <w:rsid w:val="00F66D89"/>
    <w:rsid w:val="00F70B4C"/>
    <w:rsid w:val="00F71CA3"/>
    <w:rsid w:val="00F75F45"/>
    <w:rsid w:val="00F76FE6"/>
    <w:rsid w:val="00F8123E"/>
    <w:rsid w:val="00F8323F"/>
    <w:rsid w:val="00F87BC8"/>
    <w:rsid w:val="00F92018"/>
    <w:rsid w:val="00F93C77"/>
    <w:rsid w:val="00FA3B14"/>
    <w:rsid w:val="00FA71CD"/>
    <w:rsid w:val="00FA7A1D"/>
    <w:rsid w:val="00FB02AE"/>
    <w:rsid w:val="00FB0C5A"/>
    <w:rsid w:val="00FB0F60"/>
    <w:rsid w:val="00FB321D"/>
    <w:rsid w:val="00FB509E"/>
    <w:rsid w:val="00FB626F"/>
    <w:rsid w:val="00FB6F64"/>
    <w:rsid w:val="00FC1C1D"/>
    <w:rsid w:val="00FC5808"/>
    <w:rsid w:val="00FC6AB5"/>
    <w:rsid w:val="00FC7193"/>
    <w:rsid w:val="00FD0CF4"/>
    <w:rsid w:val="00FD17A0"/>
    <w:rsid w:val="00FD32B2"/>
    <w:rsid w:val="00FD54B5"/>
    <w:rsid w:val="00FD55B2"/>
    <w:rsid w:val="00FD6AC6"/>
    <w:rsid w:val="00FD6DDA"/>
    <w:rsid w:val="00FE1252"/>
    <w:rsid w:val="00FE152E"/>
    <w:rsid w:val="00FE43CB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BF90"/>
  <w15:chartTrackingRefBased/>
  <w15:docId w15:val="{15A50622-4DBE-4B8F-AA2B-0DB63FAB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09C"/>
  </w:style>
  <w:style w:type="paragraph" w:styleId="Naslov1">
    <w:name w:val="heading 1"/>
    <w:basedOn w:val="Normal"/>
    <w:next w:val="Normal"/>
    <w:link w:val="Naslov1Char"/>
    <w:uiPriority w:val="9"/>
    <w:qFormat/>
    <w:rsid w:val="0000057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0057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0057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00057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0057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00057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057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057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057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E39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70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A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54E3"/>
  </w:style>
  <w:style w:type="paragraph" w:styleId="Podnoje">
    <w:name w:val="footer"/>
    <w:basedOn w:val="Normal"/>
    <w:link w:val="PodnojeChar"/>
    <w:uiPriority w:val="99"/>
    <w:unhideWhenUsed/>
    <w:rsid w:val="009A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54E3"/>
  </w:style>
  <w:style w:type="character" w:customStyle="1" w:styleId="Naslov1Char">
    <w:name w:val="Naslov 1 Char"/>
    <w:basedOn w:val="Zadanifontodlomka"/>
    <w:link w:val="Naslov1"/>
    <w:uiPriority w:val="9"/>
    <w:rsid w:val="0000057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rsid w:val="00000576"/>
    <w:rPr>
      <w:caps/>
      <w:spacing w:val="15"/>
      <w:shd w:val="clear" w:color="auto" w:fill="DEEAF6" w:themeFill="accent1" w:themeFillTint="33"/>
    </w:rPr>
  </w:style>
  <w:style w:type="numbering" w:customStyle="1" w:styleId="Bezpopisa1">
    <w:name w:val="Bez popisa1"/>
    <w:next w:val="Bezpopisa"/>
    <w:uiPriority w:val="99"/>
    <w:semiHidden/>
    <w:unhideWhenUsed/>
    <w:rsid w:val="00274995"/>
  </w:style>
  <w:style w:type="paragraph" w:styleId="Tijeloteksta">
    <w:name w:val="Body Text"/>
    <w:basedOn w:val="Normal"/>
    <w:link w:val="TijelotekstaChar"/>
    <w:uiPriority w:val="1"/>
    <w:rsid w:val="0027499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TijelotekstaChar">
    <w:name w:val="Tijelo teksta Char"/>
    <w:basedOn w:val="Zadanifontodlomka"/>
    <w:link w:val="Tijeloteksta"/>
    <w:uiPriority w:val="1"/>
    <w:rsid w:val="00274995"/>
    <w:rPr>
      <w:rFonts w:ascii="Tahoma" w:eastAsia="Tahoma" w:hAnsi="Tahoma" w:cs="Tahoma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00057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0057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TableParagraph">
    <w:name w:val="Table Paragraph"/>
    <w:basedOn w:val="Normal"/>
    <w:uiPriority w:val="1"/>
    <w:rsid w:val="00274995"/>
    <w:pPr>
      <w:widowControl w:val="0"/>
      <w:autoSpaceDE w:val="0"/>
      <w:autoSpaceDN w:val="0"/>
      <w:spacing w:before="16" w:after="0" w:line="240" w:lineRule="auto"/>
      <w:jc w:val="right"/>
    </w:pPr>
    <w:rPr>
      <w:rFonts w:ascii="Tahoma" w:eastAsia="Tahoma" w:hAnsi="Tahoma" w:cs="Tahoma"/>
    </w:rPr>
  </w:style>
  <w:style w:type="numbering" w:customStyle="1" w:styleId="NoList1">
    <w:name w:val="No List1"/>
    <w:next w:val="Bezpopisa"/>
    <w:uiPriority w:val="99"/>
    <w:semiHidden/>
    <w:unhideWhenUsed/>
    <w:rsid w:val="00A26D19"/>
  </w:style>
  <w:style w:type="table" w:customStyle="1" w:styleId="TableGrid1">
    <w:name w:val="Table Grid1"/>
    <w:basedOn w:val="Obinatablica"/>
    <w:next w:val="Reetkatablice"/>
    <w:uiPriority w:val="39"/>
    <w:rsid w:val="00A2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Bezpopisa"/>
    <w:uiPriority w:val="99"/>
    <w:semiHidden/>
    <w:unhideWhenUsed/>
    <w:rsid w:val="00A26D19"/>
  </w:style>
  <w:style w:type="paragraph" w:styleId="TOCNaslov">
    <w:name w:val="TOC Heading"/>
    <w:basedOn w:val="Naslov1"/>
    <w:next w:val="Normal"/>
    <w:uiPriority w:val="39"/>
    <w:unhideWhenUsed/>
    <w:qFormat/>
    <w:rsid w:val="00000576"/>
    <w:pPr>
      <w:outlineLvl w:val="9"/>
    </w:pPr>
  </w:style>
  <w:style w:type="paragraph" w:styleId="Sadraj2">
    <w:name w:val="toc 2"/>
    <w:basedOn w:val="Normal"/>
    <w:next w:val="Normal"/>
    <w:autoRedefine/>
    <w:uiPriority w:val="39"/>
    <w:unhideWhenUsed/>
    <w:rsid w:val="004B58FB"/>
    <w:pPr>
      <w:spacing w:after="100"/>
      <w:ind w:left="220"/>
    </w:pPr>
    <w:rPr>
      <w:rFonts w:cs="Times New Roman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133D7D"/>
    <w:pPr>
      <w:tabs>
        <w:tab w:val="left" w:pos="440"/>
        <w:tab w:val="right" w:leader="dot" w:pos="10456"/>
      </w:tabs>
      <w:spacing w:before="120" w:after="0" w:line="240" w:lineRule="auto"/>
    </w:pPr>
    <w:rPr>
      <w:rFonts w:cs="Times New Roman"/>
      <w:lang w:val="en-US"/>
    </w:rPr>
  </w:style>
  <w:style w:type="paragraph" w:styleId="Sadraj3">
    <w:name w:val="toc 3"/>
    <w:basedOn w:val="Normal"/>
    <w:next w:val="Normal"/>
    <w:autoRedefine/>
    <w:uiPriority w:val="39"/>
    <w:unhideWhenUsed/>
    <w:rsid w:val="00D260F6"/>
    <w:pPr>
      <w:tabs>
        <w:tab w:val="left" w:pos="1320"/>
        <w:tab w:val="right" w:leader="dot" w:pos="10456"/>
      </w:tabs>
      <w:spacing w:before="0" w:after="0"/>
      <w:ind w:left="440"/>
    </w:pPr>
    <w:rPr>
      <w:rFonts w:cs="Times New Roman"/>
      <w:noProof/>
      <w:sz w:val="22"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000576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rsid w:val="00000576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rsid w:val="00000576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rsid w:val="00000576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0576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0576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0576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00576"/>
    <w:rPr>
      <w:b/>
      <w:bCs/>
      <w:color w:val="2E74B5" w:themeColor="accent1" w:themeShade="BF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057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000576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000576"/>
    <w:rPr>
      <w:b/>
      <w:bCs/>
    </w:rPr>
  </w:style>
  <w:style w:type="character" w:styleId="Istaknuto">
    <w:name w:val="Emphasis"/>
    <w:uiPriority w:val="20"/>
    <w:qFormat/>
    <w:rsid w:val="00000576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00057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00576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000576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057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0576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000576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000576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000576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000576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000576"/>
    <w:rPr>
      <w:b/>
      <w:bCs/>
      <w:i/>
      <w:iCs/>
      <w:spacing w:val="0"/>
    </w:rPr>
  </w:style>
  <w:style w:type="character" w:styleId="Hiperveza">
    <w:name w:val="Hyperlink"/>
    <w:basedOn w:val="Zadanifontodlomka"/>
    <w:uiPriority w:val="99"/>
    <w:unhideWhenUsed/>
    <w:rsid w:val="00781E6C"/>
    <w:rPr>
      <w:color w:val="0563C1" w:themeColor="hyperlink"/>
      <w:u w:val="single"/>
    </w:rPr>
  </w:style>
  <w:style w:type="paragraph" w:customStyle="1" w:styleId="Default">
    <w:name w:val="Default"/>
    <w:rsid w:val="00D13D35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5">
    <w:name w:val="Table Grid5"/>
    <w:basedOn w:val="Obinatablica"/>
    <w:next w:val="Reetkatablice"/>
    <w:uiPriority w:val="39"/>
    <w:rsid w:val="00467531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D2FF-80C5-4D86-8ADB-F6D440DC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14</Pages>
  <Words>5485</Words>
  <Characters>31265</Characters>
  <Application>Microsoft Office Word</Application>
  <DocSecurity>0</DocSecurity>
  <Lines>260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2021-05-11T08:46:00Z</cp:lastPrinted>
  <dcterms:created xsi:type="dcterms:W3CDTF">2024-09-02T07:52:00Z</dcterms:created>
  <dcterms:modified xsi:type="dcterms:W3CDTF">2024-09-03T09:35:00Z</dcterms:modified>
</cp:coreProperties>
</file>